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96" w:rsidRPr="00E4350D" w:rsidRDefault="00B01396" w:rsidP="00B013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ab/>
        <w:t>СХВАЛЕНО</w:t>
      </w:r>
    </w:p>
    <w:p w:rsidR="00B01396" w:rsidRPr="00E4350D" w:rsidRDefault="00B01396" w:rsidP="00B01396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B01396" w:rsidRPr="00E4350D" w:rsidRDefault="00B01396" w:rsidP="00B01396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B01396" w:rsidRPr="00E4350D" w:rsidRDefault="00B01396" w:rsidP="00B01396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B01396" w:rsidRPr="00E4350D" w:rsidRDefault="00B01396" w:rsidP="00B01396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B01396" w:rsidRPr="00E4350D" w:rsidRDefault="00B01396" w:rsidP="00B01396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від___________ №______</w:t>
      </w:r>
    </w:p>
    <w:p w:rsidR="00B01396" w:rsidRPr="00E4350D" w:rsidRDefault="00B01396" w:rsidP="00B013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1396" w:rsidRPr="00E4350D" w:rsidRDefault="00B01396" w:rsidP="00B013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01396" w:rsidRPr="00E4350D" w:rsidRDefault="00B01396" w:rsidP="00B013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Обласна цільова соціальна програма </w:t>
      </w:r>
    </w:p>
    <w:p w:rsidR="00B01396" w:rsidRPr="00E4350D" w:rsidRDefault="00B01396" w:rsidP="00B013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«Молодь Прикарпаття» на 2026 рік</w:t>
      </w:r>
    </w:p>
    <w:p w:rsidR="00B01396" w:rsidRPr="00E4350D" w:rsidRDefault="00B01396" w:rsidP="00B013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Замовник Програми: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tabs>
                <w:tab w:val="left" w:pos="5529"/>
              </w:tabs>
              <w:spacing w:after="0" w:line="240" w:lineRule="auto"/>
              <w:ind w:right="-31"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Управління спорту та молодіжної </w:t>
            </w:r>
          </w:p>
          <w:p w:rsidR="00B01396" w:rsidRPr="00E4350D" w:rsidRDefault="00B01396" w:rsidP="00B01396">
            <w:pPr>
              <w:tabs>
                <w:tab w:val="left" w:pos="5529"/>
              </w:tabs>
              <w:spacing w:after="0" w:line="240" w:lineRule="auto"/>
              <w:ind w:right="-31"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політики Івано-Франківської 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обласної державної адміністрації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Костянтин ЛИСЕЙКО</w:t>
            </w:r>
          </w:p>
        </w:tc>
      </w:tr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Керівник Програми: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Заступник голови Івано-Франківської  обласної державної адміністрації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Крістіна ТОРГАН</w:t>
            </w:r>
          </w:p>
        </w:tc>
      </w:tr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ПОГОДЖЕНО</w:t>
            </w: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Департамент економічного розвитку, промисловості та інфраструктури Івано-Франківської  обласної державної адміністрації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Сергій ПОДОШВА</w:t>
            </w:r>
          </w:p>
        </w:tc>
      </w:tr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Департамент фінансів Івано-Франківської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обласної державної адміністрації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Наталія КУЧМА</w:t>
            </w:r>
          </w:p>
        </w:tc>
      </w:tr>
      <w:tr w:rsidR="00B01396" w:rsidRPr="00E4350D" w:rsidTr="007C2D37">
        <w:tc>
          <w:tcPr>
            <w:tcW w:w="5353" w:type="dxa"/>
          </w:tcPr>
          <w:p w:rsidR="00B01396" w:rsidRPr="00E4350D" w:rsidRDefault="00B01396" w:rsidP="00B01396">
            <w:pPr>
              <w:shd w:val="clear" w:color="auto" w:fill="FFFFFF"/>
              <w:spacing w:line="240" w:lineRule="auto"/>
              <w:ind w:right="1133" w:firstLine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Юридичний департамент  Івано-Франківської обласної державної адміністрації</w:t>
            </w:r>
          </w:p>
          <w:p w:rsidR="00B01396" w:rsidRPr="00E4350D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218" w:type="dxa"/>
          </w:tcPr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B01396" w:rsidRPr="00E4350D" w:rsidRDefault="00B01396" w:rsidP="00B0139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Ростислав ЛАВРИНОВИЧ</w:t>
            </w:r>
          </w:p>
        </w:tc>
      </w:tr>
    </w:tbl>
    <w:p w:rsidR="00B01396" w:rsidRPr="00E4350D" w:rsidRDefault="00B01396" w:rsidP="00B013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01396" w:rsidRPr="00E4350D" w:rsidRDefault="00B01396" w:rsidP="00B01396">
      <w:pPr>
        <w:tabs>
          <w:tab w:val="left" w:pos="5529"/>
        </w:tabs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01396" w:rsidRDefault="00B01396" w:rsidP="00B013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01396" w:rsidRDefault="00B0139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1396" w:rsidRPr="00B01396" w:rsidRDefault="00B01396" w:rsidP="00B01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 xml:space="preserve">Паспорт </w:t>
      </w:r>
    </w:p>
    <w:p w:rsidR="00B01396" w:rsidRPr="00B01396" w:rsidRDefault="00B01396" w:rsidP="00B01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обласної цільової соціальної програми </w:t>
      </w:r>
    </w:p>
    <w:p w:rsidR="00B01396" w:rsidRPr="00B01396" w:rsidRDefault="00B01396" w:rsidP="00B01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«Молодь Прикарпаття» на 2026 рік</w:t>
      </w:r>
    </w:p>
    <w:p w:rsidR="00B01396" w:rsidRPr="00B01396" w:rsidRDefault="00B01396" w:rsidP="00B013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01396" w:rsidRPr="00B01396" w:rsidRDefault="00B01396" w:rsidP="00B013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B01396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1. Ініціатор розроблення Програми (замовник): </w:t>
      </w:r>
      <w:r w:rsidRPr="00B0139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управління спорту та молодіжної політики Івано-Франківської </w:t>
      </w:r>
      <w:r w:rsidRPr="00B01396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обласної державної адміністрації. </w:t>
      </w:r>
    </w:p>
    <w:p w:rsidR="00B01396" w:rsidRPr="00B01396" w:rsidRDefault="00B01396" w:rsidP="00B013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B01396">
        <w:rPr>
          <w:rFonts w:ascii="Times New Roman" w:eastAsia="Calibri" w:hAnsi="Times New Roman" w:cs="Times New Roman"/>
          <w:b/>
          <w:sz w:val="27"/>
          <w:szCs w:val="27"/>
          <w:lang w:val="uk-UA"/>
        </w:rPr>
        <w:t>2. Розробник Програми:</w:t>
      </w:r>
      <w:r w:rsidRPr="00B0139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управління спорту та молодіжної політики                       Івано-Франківської </w:t>
      </w:r>
      <w:r w:rsidRPr="00B01396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обласної державної адміністрації.</w:t>
      </w:r>
    </w:p>
    <w:p w:rsidR="00B01396" w:rsidRPr="00B01396" w:rsidRDefault="00B01396" w:rsidP="00B0139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B01396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3. Термін реалізації Програми: </w:t>
      </w:r>
      <w:r w:rsidRPr="00B01396">
        <w:rPr>
          <w:rFonts w:ascii="Times New Roman" w:eastAsia="Calibri" w:hAnsi="Times New Roman" w:cs="Times New Roman"/>
          <w:sz w:val="27"/>
          <w:szCs w:val="27"/>
          <w:lang w:val="uk-UA"/>
        </w:rPr>
        <w:t>1 рік.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 Відповідальні виконавці Програми:</w:t>
      </w: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управління спорту та молодіжної політики Івано-Франківської обласної державної адміністрації, структурні підрозділи Івано-Франківської обласної державної адміністрації. </w:t>
      </w:r>
    </w:p>
    <w:p w:rsidR="00B01396" w:rsidRPr="00B01396" w:rsidRDefault="00B01396" w:rsidP="00B0139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01396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5. Етапи фінансування Програми: </w:t>
      </w:r>
      <w:r w:rsidRPr="00B01396">
        <w:rPr>
          <w:rFonts w:ascii="Times New Roman" w:eastAsia="Calibri" w:hAnsi="Times New Roman" w:cs="Times New Roman"/>
          <w:sz w:val="27"/>
          <w:szCs w:val="27"/>
          <w:lang w:val="uk-UA"/>
        </w:rPr>
        <w:t>2026 рік.</w:t>
      </w:r>
    </w:p>
    <w:p w:rsidR="00B01396" w:rsidRPr="00B01396" w:rsidRDefault="00B01396" w:rsidP="00B0139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B01396">
        <w:rPr>
          <w:rFonts w:ascii="Times New Roman" w:eastAsia="Calibri" w:hAnsi="Times New Roman" w:cs="Times New Roman"/>
          <w:b/>
          <w:sz w:val="27"/>
          <w:szCs w:val="27"/>
          <w:lang w:val="uk-UA"/>
        </w:rPr>
        <w:t>6. Орієнтовні обсяги фінансування Програми:</w:t>
      </w:r>
    </w:p>
    <w:p w:rsidR="00B01396" w:rsidRPr="00B01396" w:rsidRDefault="00B01396" w:rsidP="00B0139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tbl>
      <w:tblPr>
        <w:tblStyle w:val="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10"/>
        <w:gridCol w:w="1843"/>
        <w:gridCol w:w="1984"/>
      </w:tblGrid>
      <w:tr w:rsidR="00B01396" w:rsidRPr="00B01396" w:rsidTr="007C2D37">
        <w:tc>
          <w:tcPr>
            <w:tcW w:w="1418" w:type="dxa"/>
            <w:vMerge w:val="restart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Рік</w:t>
            </w:r>
          </w:p>
        </w:tc>
        <w:tc>
          <w:tcPr>
            <w:tcW w:w="7796" w:type="dxa"/>
            <w:gridSpan w:val="4"/>
          </w:tcPr>
          <w:p w:rsidR="00B01396" w:rsidRPr="00B01396" w:rsidRDefault="00B01396" w:rsidP="00B013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Орієнтовні обсяги фінансування, грн</w:t>
            </w:r>
          </w:p>
        </w:tc>
      </w:tr>
      <w:tr w:rsidR="00B01396" w:rsidRPr="00B01396" w:rsidTr="007C2D37">
        <w:tc>
          <w:tcPr>
            <w:tcW w:w="1418" w:type="dxa"/>
            <w:vMerge/>
          </w:tcPr>
          <w:p w:rsidR="00B01396" w:rsidRPr="00B01396" w:rsidRDefault="00B01396" w:rsidP="00B013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01396" w:rsidRPr="00B01396" w:rsidRDefault="00B01396" w:rsidP="00B01396">
            <w:pPr>
              <w:spacing w:after="0" w:line="240" w:lineRule="auto"/>
              <w:ind w:firstLine="175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6237" w:type="dxa"/>
            <w:gridSpan w:val="3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 т. ч. за джерелами фінансування</w:t>
            </w:r>
          </w:p>
        </w:tc>
      </w:tr>
      <w:tr w:rsidR="00B01396" w:rsidRPr="00B01396" w:rsidTr="007C2D37">
        <w:tc>
          <w:tcPr>
            <w:tcW w:w="1418" w:type="dxa"/>
            <w:vMerge/>
          </w:tcPr>
          <w:p w:rsidR="00B01396" w:rsidRPr="00B01396" w:rsidRDefault="00B01396" w:rsidP="00B013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vMerge/>
          </w:tcPr>
          <w:p w:rsidR="00B01396" w:rsidRPr="00B01396" w:rsidRDefault="00B01396" w:rsidP="00B0139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місцеві бюджети</w:t>
            </w:r>
          </w:p>
        </w:tc>
        <w:tc>
          <w:tcPr>
            <w:tcW w:w="1984" w:type="dxa"/>
          </w:tcPr>
          <w:p w:rsidR="00B01396" w:rsidRPr="00B01396" w:rsidRDefault="00B01396" w:rsidP="00B01396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інші джерела</w:t>
            </w:r>
          </w:p>
        </w:tc>
      </w:tr>
      <w:tr w:rsidR="00B01396" w:rsidRPr="00B01396" w:rsidTr="007C2D37">
        <w:tc>
          <w:tcPr>
            <w:tcW w:w="1418" w:type="dxa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2026</w:t>
            </w:r>
          </w:p>
          <w:p w:rsidR="00B01396" w:rsidRPr="00B01396" w:rsidRDefault="00B01396" w:rsidP="00B01396">
            <w:pPr>
              <w:spacing w:after="0" w:line="240" w:lineRule="auto"/>
              <w:ind w:firstLine="176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500 000,00</w:t>
            </w:r>
          </w:p>
        </w:tc>
        <w:tc>
          <w:tcPr>
            <w:tcW w:w="2410" w:type="dxa"/>
          </w:tcPr>
          <w:p w:rsidR="00B01396" w:rsidRPr="00B01396" w:rsidRDefault="00B01396" w:rsidP="00B01396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500 000,00</w:t>
            </w:r>
          </w:p>
        </w:tc>
        <w:tc>
          <w:tcPr>
            <w:tcW w:w="1843" w:type="dxa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у межах бюджетних призначень</w:t>
            </w:r>
          </w:p>
        </w:tc>
        <w:tc>
          <w:tcPr>
            <w:tcW w:w="1984" w:type="dxa"/>
          </w:tcPr>
          <w:p w:rsidR="00B01396" w:rsidRPr="00B01396" w:rsidRDefault="00B01396" w:rsidP="00B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0139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</w:tr>
    </w:tbl>
    <w:p w:rsidR="00B01396" w:rsidRPr="00B01396" w:rsidRDefault="00B01396" w:rsidP="00B013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01396" w:rsidRPr="00B01396" w:rsidRDefault="00B01396" w:rsidP="00B013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 Очікувані результати виконання Програми</w:t>
      </w: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Реалізація Програми сприятиме розвитку молодіжної інфраструктури області, зокрема мережі інклюзивних і безбар’єрних центрів та просторів. Очікується зростання громадянської активності молоді, її участі в молодіжних радах і самоврядуванні, а також посилення відчуття належності до українського суспільства. Програма передбачає розвиток компетентностей молодіжних працівників і лідерів, підтримку працевлаштування, підприємництва та ментального здоров’я молоді. Окремий акцент – на підтримці молодих ветеранів, ВПО та молоді, що повертається з-за кордону для їх успішної інтеграції в громади Прикарпаття.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8. Термін проведення звітності: 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мети та завдань, визначених Програмою, замовник подає обласній раді: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звіт про результати виконання Програми за підсумками року – до                   10 лютого наступного за звітнім роком;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інформацію про хід виконання Програми – щоквартально до 15 числа місяця, наступного за звітним кварталом.</w:t>
      </w:r>
    </w:p>
    <w:p w:rsidR="00B01396" w:rsidRPr="00B01396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0139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3850"/>
      </w:tblGrid>
      <w:tr w:rsidR="00B01396" w:rsidRPr="00B01396" w:rsidTr="007C2D37">
        <w:tc>
          <w:tcPr>
            <w:tcW w:w="5495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Керівник Програми:</w:t>
            </w: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Заступник голови Івано-Франківської обласної державної адміністрації</w:t>
            </w: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935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B01396" w:rsidRPr="00B01396" w:rsidRDefault="00B01396" w:rsidP="00B01396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Крістіна ТОРГАН</w:t>
            </w:r>
          </w:p>
        </w:tc>
      </w:tr>
      <w:tr w:rsidR="00B01396" w:rsidRPr="00B01396" w:rsidTr="007C2D37">
        <w:tc>
          <w:tcPr>
            <w:tcW w:w="5495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Замовник Програми:</w:t>
            </w: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3935" w:type="dxa"/>
          </w:tcPr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B01396" w:rsidRPr="00B01396" w:rsidRDefault="00B01396" w:rsidP="00B013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B01396" w:rsidRPr="00B01396" w:rsidRDefault="00B01396" w:rsidP="00B01396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01396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Костянтин ЛИСЕЙКО</w:t>
            </w:r>
          </w:p>
        </w:tc>
      </w:tr>
    </w:tbl>
    <w:p w:rsidR="00B01396" w:rsidRPr="00E4350D" w:rsidRDefault="00B01396" w:rsidP="00B013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1396" w:rsidRPr="00E4350D" w:rsidRDefault="00B01396" w:rsidP="00B01396">
      <w:pPr>
        <w:shd w:val="clear" w:color="auto" w:fill="FFFFFF"/>
        <w:spacing w:line="240" w:lineRule="auto"/>
        <w:ind w:right="111"/>
        <w:contextualSpacing/>
        <w:rPr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1396" w:rsidRDefault="00B01396" w:rsidP="00B0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EE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B01396" w:rsidRDefault="00B01396" w:rsidP="00B0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EE">
        <w:rPr>
          <w:rFonts w:ascii="Times New Roman" w:hAnsi="Times New Roman" w:cs="Times New Roman"/>
          <w:b/>
          <w:sz w:val="28"/>
          <w:szCs w:val="28"/>
        </w:rPr>
        <w:t xml:space="preserve">доцільності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розроблення обласної цільової соціальної програми  </w:t>
      </w:r>
    </w:p>
    <w:p w:rsidR="00B01396" w:rsidRDefault="00B01396" w:rsidP="00B0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«Молодь Прикарпаття» на 2026 рік </w:t>
      </w:r>
    </w:p>
    <w:p w:rsidR="00B01396" w:rsidRDefault="00B01396" w:rsidP="00B013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96" w:rsidRPr="006E53EE" w:rsidRDefault="00B01396" w:rsidP="00B013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17F1B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E53EE">
        <w:rPr>
          <w:rFonts w:ascii="Times New Roman" w:hAnsi="Times New Roman" w:cs="Times New Roman"/>
          <w:b/>
          <w:sz w:val="28"/>
          <w:szCs w:val="28"/>
        </w:rPr>
        <w:t xml:space="preserve"> Зміст проблеми, на вирішення якої спрямована Програма</w:t>
      </w:r>
    </w:p>
    <w:p w:rsidR="00B01396" w:rsidRPr="00496C68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Молодь Івано-Франківської області є ключовим ресурсом розвитку регіону та держави, однак стикається з численними викликами: демографічним скороченням, зростанням міграційних настроїв, низькою участю в суспільному житті, погіршенням психічного та фізичного здоров’я, економічною нестабільністю, обмеженим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доступом до освіти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 професійної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орієнтації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нерівністю та загрозами для безпеки окремих категорій молоді.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6AC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Обласна цільова соціальна програма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«Молодь Прикарпаття» на 2026 рік (далі – Програма)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спрямована на комплексне вирішення цих проблем через створення умов для активної участі молоді в громадському та професійному житті, забезпечення доступу до освіти, професійного розвитку та психологічної підтримки, формування інклюзивного та безпечного середовища, а також посилення інституційної спроможності органів влади та молодіжних працівників для ефективної реалізації</w:t>
      </w:r>
      <w:r w:rsidRPr="005B6A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молодіжної політики.</w:t>
      </w:r>
    </w:p>
    <w:p w:rsidR="00B01396" w:rsidRPr="00496C68" w:rsidRDefault="00B01396" w:rsidP="00B01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</w:t>
      </w:r>
      <w:r w:rsidRPr="005B6A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ґрунтується на аналізі стану і проблем розвитку української молоді, результатів виконання попередніх програм, а також враховує програмні вимоги і перспективи, визначені </w:t>
      </w:r>
      <w:r w:rsidRPr="00496C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Національною молодіжною стратегією до 2030 року, затвердженої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Указом Президента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12.03.</w:t>
      </w:r>
      <w:r w:rsidRPr="00496C68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2021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 </w:t>
      </w:r>
      <w:r w:rsidRPr="00496C68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94/2021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4" w:anchor="n10" w:tgtFrame="_blank" w:history="1">
        <w:r w:rsidRPr="00496C68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Національною стратегією із створення безбар’єрного простору в Україні на період до 2030 року</w:t>
        </w:r>
      </w:hyperlink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 схваленою розпорядженням 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бінету Міністрів України від 14.04.2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021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366, </w:t>
      </w:r>
      <w:hyperlink r:id="rId5" w:anchor="n15" w:tgtFrame="_blank" w:history="1">
        <w:r w:rsidRPr="00496C68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Державною стратегією забезпечення рівних прав та можливостей жінок і чоловіків на період до 2030 року</w:t>
        </w:r>
      </w:hyperlink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 схваленою розпорядженням 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бінету Міністрів України від 12.08.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 752 «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схвалення Державної стратегії забезпечення рівних прав та можливостей жінок і чоловіків на період до 2030 року та затвердження операційного плану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її реалізації на 2022-2024 роки»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Стратегією молодіжного сектору Ради Європи до 2030 року, переглянутою Європейською хартією про участь молоді у громадському житті на місцевому та регіональному рівні, ухваленою Конгресом місцевих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регіональних влад Європи 21.05.2003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 Хартією Ради Європи з освіти для демократичного громадянства й освіти з прав людини (2010),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казом Президента України від 30.09.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2019 </w:t>
      </w:r>
      <w:hyperlink r:id="rId6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№ </w:t>
        </w:r>
        <w:r w:rsidRPr="00496C68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722</w:t>
        </w:r>
      </w:hyperlink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Цілі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на період до 2030 року»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7" w:anchor="n10" w:tgtFrame="_blank" w:history="1">
        <w:r w:rsidRPr="00496C68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Концепцією розвитку громадянської освіти в Україні</w:t>
        </w:r>
      </w:hyperlink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, схваленою розпорядженням Кабінет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Міністрів України від 03.10.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710, розроблена відповідно до принципів здійснення молодіжної політи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>ки, визначених Законом України «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осн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овні засади молодіжної політики» та Концепцією </w:t>
      </w:r>
      <w:r w:rsidRPr="00496C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Державної цільової соціальної програми «Молодь України: покоління стійкості – 2030», схваленої розпорядженням Кабінету Міністрів України</w:t>
      </w:r>
      <w:r w:rsidRPr="00496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6C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11.08.2025 № 840-р</w:t>
      </w:r>
      <w:r w:rsidRPr="007C3C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Програма  розроблена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 урахуванням вікових меж молоді віком від 14 до 35 років (включно).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Програма передбачає координацію дій органів влади, молодіжних рад, громадських організацій, центрів, закладів освіти, бізнесу та волонтерських спільнот на засадах участі молоді, партнерства та між</w:t>
      </w:r>
      <w:r>
        <w:rPr>
          <w:rFonts w:ascii="Times New Roman" w:hAnsi="Times New Roman" w:cs="Times New Roman"/>
          <w:sz w:val="28"/>
          <w:szCs w:val="28"/>
        </w:rPr>
        <w:t>відомчої взаємодії. Реалізація П</w:t>
      </w:r>
      <w:r w:rsidRPr="005B6ACE">
        <w:rPr>
          <w:rFonts w:ascii="Times New Roman" w:hAnsi="Times New Roman" w:cs="Times New Roman"/>
          <w:sz w:val="28"/>
          <w:szCs w:val="28"/>
        </w:rPr>
        <w:t>рограми сприяє уникненню дублювання заходів, підвищенню довіри молоді до влади, підтримці внутрішньо переміщених осіб та ветеранів, розвитку цифрових процесів і забезпечує системність, адаптивність та стійкість молодіжної політики в області.</w:t>
      </w:r>
    </w:p>
    <w:p w:rsidR="00B01396" w:rsidRDefault="00B01396" w:rsidP="00B013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1396" w:rsidRPr="00601676" w:rsidRDefault="00B01396" w:rsidP="00B013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01676">
        <w:rPr>
          <w:rFonts w:ascii="Times New Roman" w:hAnsi="Times New Roman" w:cs="Times New Roman"/>
          <w:b/>
          <w:sz w:val="28"/>
          <w:szCs w:val="28"/>
        </w:rPr>
        <w:t xml:space="preserve">II. Мета Програми 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B6ACE">
        <w:rPr>
          <w:rFonts w:ascii="Times New Roman" w:hAnsi="Times New Roman" w:cs="Times New Roman"/>
          <w:sz w:val="28"/>
          <w:szCs w:val="28"/>
        </w:rPr>
        <w:t>ормування у молоді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6ACE">
        <w:rPr>
          <w:rFonts w:ascii="Times New Roman" w:hAnsi="Times New Roman" w:cs="Times New Roman"/>
          <w:sz w:val="28"/>
          <w:szCs w:val="28"/>
        </w:rPr>
        <w:t xml:space="preserve"> як стратегічної складової людського капіталу регіону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6ACE">
        <w:rPr>
          <w:rFonts w:ascii="Times New Roman" w:hAnsi="Times New Roman" w:cs="Times New Roman"/>
          <w:sz w:val="28"/>
          <w:szCs w:val="28"/>
        </w:rPr>
        <w:t xml:space="preserve"> відчуття належності до українського суспільства, р</w:t>
      </w:r>
      <w:r>
        <w:rPr>
          <w:rFonts w:ascii="Times New Roman" w:hAnsi="Times New Roman" w:cs="Times New Roman"/>
          <w:sz w:val="28"/>
          <w:szCs w:val="28"/>
        </w:rPr>
        <w:t xml:space="preserve">озвиток її </w:t>
      </w:r>
      <w:r w:rsidRPr="005B6ACE">
        <w:rPr>
          <w:rFonts w:ascii="Times New Roman" w:hAnsi="Times New Roman" w:cs="Times New Roman"/>
          <w:sz w:val="28"/>
          <w:szCs w:val="28"/>
        </w:rPr>
        <w:t>стійкості та створення можливостей для особистісної самореалізації. Реалізація цієї мети на регіональному рівні є особливо важливою для забезпечення сталого розвитку Івано-Франківської області, підвищення громадянської активності молоді та зміцнення її національної ідентичності.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396" w:rsidRPr="00217F1B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F1B">
        <w:rPr>
          <w:rFonts w:ascii="Times New Roman" w:hAnsi="Times New Roman" w:cs="Times New Roman"/>
          <w:b/>
          <w:sz w:val="28"/>
          <w:szCs w:val="28"/>
        </w:rPr>
        <w:t xml:space="preserve"> III. Завдання Програми 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Для системного подолання актуальних проблем молоді Івано-Франківщини передбачається реалізація таких пріоритетних завдань: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забезпечення ефективної міжвідомчої та міжсекторальної взаємодії</w:t>
      </w:r>
      <w:r w:rsidRPr="005B6ACE">
        <w:rPr>
          <w:rFonts w:ascii="Times New Roman" w:hAnsi="Times New Roman" w:cs="Times New Roman"/>
          <w:sz w:val="28"/>
          <w:szCs w:val="28"/>
        </w:rPr>
        <w:t xml:space="preserve"> між органами державної влади, органами місцевого самоврядування, громадськими організаціями, молодіжними радами, закладами освіти, бізнесом, ветеранськими спільнотами та іншими суб’єктами молодіжної роботи з метою узгодженого формування та реалізації молодіжної політики в області;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формування безбар’єрного та сприятливого середовища</w:t>
      </w:r>
      <w:r w:rsidRPr="005B6ACE">
        <w:rPr>
          <w:rFonts w:ascii="Times New Roman" w:hAnsi="Times New Roman" w:cs="Times New Roman"/>
          <w:sz w:val="28"/>
          <w:szCs w:val="28"/>
        </w:rPr>
        <w:t xml:space="preserve"> для розвитку молоді в кожній громаді, з урахуванням унікальності та потреб кожної молодої людини, незалежно від місця проживання, соціального статусу чи життєвих обставин;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розвиток кадрового потенціалу молодіжної сфери та розбудова молодіжної інфраструктури</w:t>
      </w:r>
      <w:r w:rsidRPr="005B6ACE">
        <w:rPr>
          <w:rFonts w:ascii="Times New Roman" w:hAnsi="Times New Roman" w:cs="Times New Roman"/>
          <w:sz w:val="28"/>
          <w:szCs w:val="28"/>
        </w:rPr>
        <w:t>, зокрема молодіжних центрів і просторів, а також впровадження цифрових інструментів та сервісів для комунікації, навчання і залучення молоді до активностей на регіональному та місцевому рівнях;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створення умов для особистісного, освітнього і професійного розвитку молоді</w:t>
      </w:r>
      <w:r w:rsidRPr="005B6ACE">
        <w:rPr>
          <w:rFonts w:ascii="Times New Roman" w:hAnsi="Times New Roman" w:cs="Times New Roman"/>
          <w:sz w:val="28"/>
          <w:szCs w:val="28"/>
        </w:rPr>
        <w:t>, підвищення її економічн</w:t>
      </w:r>
      <w:r>
        <w:rPr>
          <w:rFonts w:ascii="Times New Roman" w:hAnsi="Times New Roman" w:cs="Times New Roman"/>
          <w:sz w:val="28"/>
          <w:szCs w:val="28"/>
        </w:rPr>
        <w:t>ої спроможності, підтримки</w:t>
      </w:r>
      <w:r w:rsidRPr="005B6ACE">
        <w:rPr>
          <w:rFonts w:ascii="Times New Roman" w:hAnsi="Times New Roman" w:cs="Times New Roman"/>
          <w:sz w:val="28"/>
          <w:szCs w:val="28"/>
        </w:rPr>
        <w:t xml:space="preserve"> підприємницьких ініціатив молодих людей, у тому числі в сільських громадах;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впровадження систем підтримки ментального здоров’я</w:t>
      </w:r>
      <w:r w:rsidRPr="005B6ACE">
        <w:rPr>
          <w:rFonts w:ascii="Times New Roman" w:hAnsi="Times New Roman" w:cs="Times New Roman"/>
          <w:sz w:val="28"/>
          <w:szCs w:val="28"/>
        </w:rPr>
        <w:t>, надання соціально-психологічної допомоги, розвиток життєстійкості молоді, зокрема тих, хто постраждав від наслідків війни або перебуває у складних життєвих обставинах;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формування у молоді відчуття належності до українського суспільства</w:t>
      </w:r>
      <w:r w:rsidRPr="005B6ACE">
        <w:rPr>
          <w:rFonts w:ascii="Times New Roman" w:hAnsi="Times New Roman" w:cs="Times New Roman"/>
          <w:sz w:val="28"/>
          <w:szCs w:val="28"/>
        </w:rPr>
        <w:t xml:space="preserve">, зміцнення національної та громадянської ідентичності, заохочення до участі </w:t>
      </w:r>
      <w:r w:rsidRPr="005B6ACE">
        <w:rPr>
          <w:rFonts w:ascii="Times New Roman" w:hAnsi="Times New Roman" w:cs="Times New Roman"/>
          <w:sz w:val="28"/>
          <w:szCs w:val="28"/>
        </w:rPr>
        <w:lastRenderedPageBreak/>
        <w:t>у суспільному житті, розвитку волонтерства, молодіжного лідерства та активізму;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сприяння реінтеграції молоді</w:t>
      </w:r>
      <w:r w:rsidRPr="005B6ACE">
        <w:rPr>
          <w:rFonts w:ascii="Times New Roman" w:hAnsi="Times New Roman" w:cs="Times New Roman"/>
          <w:sz w:val="28"/>
          <w:szCs w:val="28"/>
        </w:rPr>
        <w:t xml:space="preserve">, зокрема внутрішньо переміщених осіб, молоді з прифронтових територій і тимчасово окупованих частин України, молодих </w:t>
      </w:r>
      <w:r>
        <w:rPr>
          <w:rFonts w:ascii="Times New Roman" w:hAnsi="Times New Roman" w:cs="Times New Roman"/>
          <w:sz w:val="28"/>
          <w:szCs w:val="28"/>
        </w:rPr>
        <w:t>військовослужбовців та ветеранів</w:t>
      </w:r>
      <w:r w:rsidRPr="005B6ACE">
        <w:rPr>
          <w:rFonts w:ascii="Times New Roman" w:hAnsi="Times New Roman" w:cs="Times New Roman"/>
          <w:sz w:val="28"/>
          <w:szCs w:val="28"/>
        </w:rPr>
        <w:t xml:space="preserve"> у соціокультурне життя регіону, забезпечення умов для їх адаптації та самореалізації.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E6D">
        <w:rPr>
          <w:rFonts w:ascii="Times New Roman" w:hAnsi="Times New Roman" w:cs="Times New Roman"/>
          <w:b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</w:rPr>
        <w:t>Шляхи і способи розв’язання проблем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Програма передбачає концентрацію зусиль на виконанні трьох пріоритетних завдань, спрямованих на створення умов для розвитку, самореалізації та життєстійкості молоді Івано-Франківської області.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Пріоритетне завдання 1. Розширення участі молоді у суспільному житті та зміцнення соціальної згуртованості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Реалізація завдання здійснюватиметься через: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створення умов для участі молоді в суспільному житті області, забезпечення її доступу до процесу прийняття рішень на регіональному та місцевому рівнях;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розви</w:t>
      </w:r>
      <w:r>
        <w:rPr>
          <w:rFonts w:ascii="Times New Roman" w:hAnsi="Times New Roman" w:cs="Times New Roman"/>
          <w:sz w:val="28"/>
          <w:szCs w:val="28"/>
        </w:rPr>
        <w:t xml:space="preserve">ток молодіжного самоврядування: </w:t>
      </w:r>
      <w:r w:rsidRPr="00213E6D">
        <w:rPr>
          <w:rFonts w:ascii="Times New Roman" w:hAnsi="Times New Roman" w:cs="Times New Roman"/>
          <w:sz w:val="28"/>
          <w:szCs w:val="28"/>
        </w:rPr>
        <w:t>молодіжних рад, рад учнівського та студентського самоврядування, громадських організацій, молодіжних просторів і центрів як платформ для участі молоді у формуванні політики на місцях;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сприяння розвитку волонтерства, громадської активності та соціальної відповідальності серед молоді через проведення навчань, обмінів і спільних ініціатив;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підтримку ініціатив, що зміцнюють соціальну згуртованість, формують відчуття належності молоді до українського суспільства та любові до своєї громади;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інтеграцію молоді з територій, які постраждали від бойових дій, внутрішньо переміщених осіб, ветеранів війни у соціокультурне життя громад області;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проведення заходів, спрямованих на протидію дезінформації та поширення національних цінностей, мови, культури й історії України;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залучення молодих військовослужбовців і ветеранів до громадської діяльності як прикладу громадянської зрілості та патріотизму.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Пріоритетне завдання 2. Розвиток стійкості, безпечного середовища та психоемоційного благополуччя молоді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Реалізація завдання передбачає: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створення безпечного, інклюзивного та безбар’єрного середовища для молоді в кожній територіальній громаді області;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проведення інформаційно-просвітницьких кампаній щодо запобігання насильству, стигматизації та дискримінації серед молоді;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формування нетерпимості до будь-яких форм насильства, зокрема гендерно зумовленого, та підвищення рівня гендерної обізнаності молодіжних працівників;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lastRenderedPageBreak/>
        <w:t>впровадження систем підтримки ментального здоров’я молоді через діяльність психологічних служб, консультаційних пунктів та інформаційних кампаній;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популяризацію культури турботи про власне психічне і фізичне здоров’я, навчання молоді навичкам саморегуляції, стресостійкості та емоційного відновлення;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забезпечення доступу до психологічної допомоги молоді, яка перебуває у складних життєвих обставинах, ветеранів, військовослужбовців та їхніх сімей;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розвиток молодіжних ініціатив, спрямованих на підтримку здорового способу життя, спорту, активного відпочинку;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проведення тренінгів та навчань із першої домедичної допомоги, особистої безпеки, кризового реагування в умовах воєнного часу.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Пріоритетне завдання 3. Сприяння самореалізації та економічній спроможності молоді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Реалізація завдання здійснюватиметься шляхом: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створення умов для професійного розвитку, формальної та неформальної освіти молоді;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проведення профорієнтаційних заходів, тренінгів, менторських програм і стажувань у державному, приватному та громадському секторах;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підтримки ініціатив, спрямованих на розвиток підприємницьких навичок, фінансової грамотності, самозайнятості молоді;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впровадження навчальних програм із розвитку цифрових та медіаграмотних компетентностей, кібербезпеки, критичного мислення;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підтримки молоді у сфері креативної економіки, інноваційних технологій, стартапів і соціального підприємництва;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>стимулювання участі молодих учених у дослідницьких та інноваційних програмах, розвитку STEM/STEAM-освіти;</w:t>
      </w:r>
    </w:p>
    <w:p w:rsidR="00B01396" w:rsidRPr="00213E6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E6D">
        <w:rPr>
          <w:rFonts w:ascii="Times New Roman" w:hAnsi="Times New Roman" w:cs="Times New Roman"/>
          <w:sz w:val="28"/>
          <w:szCs w:val="28"/>
        </w:rPr>
        <w:t xml:space="preserve">сприяння створенню молодіжних бізнес-кластерів і хабів </w:t>
      </w:r>
      <w:proofErr w:type="gramStart"/>
      <w:r w:rsidRPr="00213E6D">
        <w:rPr>
          <w:rFonts w:ascii="Times New Roman" w:hAnsi="Times New Roman" w:cs="Times New Roman"/>
          <w:sz w:val="28"/>
          <w:szCs w:val="28"/>
        </w:rPr>
        <w:t>у громадах</w:t>
      </w:r>
      <w:proofErr w:type="gramEnd"/>
      <w:r w:rsidRPr="00213E6D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396" w:rsidRPr="00CC66D9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D9">
        <w:rPr>
          <w:rFonts w:ascii="Times New Roman" w:hAnsi="Times New Roman" w:cs="Times New Roman"/>
          <w:b/>
          <w:sz w:val="28"/>
          <w:szCs w:val="28"/>
        </w:rPr>
        <w:t>V. Обсяг і джерела фінансування, строки та етапи виконання</w:t>
      </w:r>
      <w:r w:rsidRPr="00CC66D9">
        <w:rPr>
          <w:rFonts w:ascii="Times New Roman" w:hAnsi="Times New Roman" w:cs="Times New Roman"/>
          <w:sz w:val="28"/>
          <w:szCs w:val="28"/>
        </w:rPr>
        <w:t xml:space="preserve"> </w:t>
      </w:r>
      <w:r w:rsidRPr="00CC66D9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B01396" w:rsidRPr="00B048CB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8CB">
        <w:rPr>
          <w:rFonts w:ascii="Times New Roman" w:hAnsi="Times New Roman" w:cs="Times New Roman"/>
          <w:sz w:val="28"/>
          <w:szCs w:val="28"/>
        </w:rPr>
        <w:t xml:space="preserve"> Обсяг фінансування Програми складає 500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B048CB">
        <w:rPr>
          <w:rFonts w:ascii="Times New Roman" w:hAnsi="Times New Roman" w:cs="Times New Roman"/>
          <w:sz w:val="28"/>
          <w:szCs w:val="28"/>
        </w:rPr>
        <w:t>,00 гривень за рахунок коштів обласного бюджету, виходячи з можливостей дохідної частини та інших джерел, не заборонених чинним законодавством України.</w:t>
      </w:r>
    </w:p>
    <w:p w:rsidR="00B01396" w:rsidRPr="00CC66D9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8CB">
        <w:rPr>
          <w:rFonts w:ascii="Times New Roman" w:hAnsi="Times New Roman" w:cs="Times New Roman"/>
          <w:sz w:val="28"/>
          <w:szCs w:val="28"/>
        </w:rPr>
        <w:t>Виконання заходів Програми передбачається</w:t>
      </w:r>
      <w:r w:rsidRPr="00CC66D9">
        <w:rPr>
          <w:rFonts w:ascii="Times New Roman" w:hAnsi="Times New Roman" w:cs="Times New Roman"/>
          <w:sz w:val="28"/>
          <w:szCs w:val="28"/>
        </w:rPr>
        <w:t xml:space="preserve"> здійснити протягом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66D9">
        <w:rPr>
          <w:rFonts w:ascii="Times New Roman" w:hAnsi="Times New Roman" w:cs="Times New Roman"/>
          <w:sz w:val="28"/>
          <w:szCs w:val="28"/>
        </w:rPr>
        <w:t xml:space="preserve">2026 року. 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396" w:rsidRPr="00217F1B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F1B">
        <w:rPr>
          <w:rFonts w:ascii="Times New Roman" w:hAnsi="Times New Roman" w:cs="Times New Roman"/>
          <w:b/>
          <w:sz w:val="28"/>
          <w:szCs w:val="28"/>
        </w:rPr>
        <w:t>V</w:t>
      </w:r>
      <w:r w:rsidRPr="00A332A7">
        <w:rPr>
          <w:rFonts w:ascii="Times New Roman" w:hAnsi="Times New Roman" w:cs="Times New Roman"/>
          <w:b/>
          <w:sz w:val="28"/>
          <w:szCs w:val="28"/>
        </w:rPr>
        <w:t>I</w:t>
      </w:r>
      <w:r w:rsidRPr="00217F1B">
        <w:rPr>
          <w:rFonts w:ascii="Times New Roman" w:hAnsi="Times New Roman" w:cs="Times New Roman"/>
          <w:b/>
          <w:sz w:val="28"/>
          <w:szCs w:val="28"/>
        </w:rPr>
        <w:t>. Результати, очікувані від виконання Програми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sz w:val="28"/>
          <w:szCs w:val="28"/>
        </w:rPr>
        <w:t>Реалізація Програми дасть змогу: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зміцнити молодіжну інфраструктуру області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збільшити кількість молодіжних центрів і просторів, що функціонують як інклюзивні, безбар’єрні середовища для підтримки та розвитку молоді, зокрема з вразливих категорій;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lastRenderedPageBreak/>
        <w:t>підвищити рівень громадянської активності молоді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збільшити частку молоді, залученої до діяльності молодіжних рад, органів учнівського та студентського самоврядування, молодіжних і дитячих організацій, щонайменше на 3 % щороку;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посилити відчуття належності до українського суспільства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збільшити кількість молоді, яка бере участь </w:t>
      </w:r>
      <w:proofErr w:type="gramStart"/>
      <w:r w:rsidRPr="005B6ACE">
        <w:rPr>
          <w:rFonts w:ascii="Times New Roman" w:hAnsi="Times New Roman" w:cs="Times New Roman"/>
          <w:sz w:val="28"/>
          <w:szCs w:val="28"/>
        </w:rPr>
        <w:t>у заходах</w:t>
      </w:r>
      <w:proofErr w:type="gramEnd"/>
      <w:r w:rsidRPr="005B6ACE">
        <w:rPr>
          <w:rFonts w:ascii="Times New Roman" w:hAnsi="Times New Roman" w:cs="Times New Roman"/>
          <w:sz w:val="28"/>
          <w:szCs w:val="28"/>
        </w:rPr>
        <w:t xml:space="preserve"> із соціальної згуртованості, патріотичного виховання, медіаграмотності та протидії дезінформації, не менш ніж на 3 % щороку;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забезпечити розвиток молодіжних працівників і лідерів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щороку підвищувати кваліфікацію не менше ніж 10 % фахівців і представників молодіжних рад через участь у програмах «Молодіжний працівник» та «МІСТ»;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покращити психоемоційне благополуччя молоді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збільшити кількість програм і заходів, спрямованих на підтримку психічного здоров’я, життєстійкості та навичок емоційної регуляції, не менш ніж на 10 % щороку;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підвищити рівень зайнятості та підприємливості молоді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розширити можливості для стажувань, менторських програм, неформальної освіти, спрямованої на розвиток професійних та цифрових компетентностей, що відповідають сучасному ринку праці;</w:t>
      </w:r>
    </w:p>
    <w:p w:rsidR="00B01396" w:rsidRPr="005B6ACE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ACE">
        <w:rPr>
          <w:rFonts w:ascii="Times New Roman" w:hAnsi="Times New Roman" w:cs="Times New Roman"/>
          <w:bCs/>
          <w:sz w:val="28"/>
          <w:szCs w:val="28"/>
        </w:rPr>
        <w:t>сприяти поверненню та реінтеграції молоді</w:t>
      </w:r>
      <w:r w:rsidRPr="005B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6ACE">
        <w:rPr>
          <w:rFonts w:ascii="Times New Roman" w:hAnsi="Times New Roman" w:cs="Times New Roman"/>
          <w:sz w:val="28"/>
          <w:szCs w:val="28"/>
        </w:rPr>
        <w:t xml:space="preserve"> забезпечити участь молодих внутрішньо переміщених осіб, </w:t>
      </w:r>
      <w:r>
        <w:rPr>
          <w:rFonts w:ascii="Times New Roman" w:hAnsi="Times New Roman" w:cs="Times New Roman"/>
          <w:sz w:val="28"/>
          <w:szCs w:val="28"/>
        </w:rPr>
        <w:t>ветеранів і молоді, що повернули</w:t>
      </w:r>
      <w:r w:rsidRPr="005B6ACE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B6ACE">
        <w:rPr>
          <w:rFonts w:ascii="Times New Roman" w:hAnsi="Times New Roman" w:cs="Times New Roman"/>
          <w:sz w:val="28"/>
          <w:szCs w:val="28"/>
        </w:rPr>
        <w:t>з-за кордону</w:t>
      </w:r>
      <w:proofErr w:type="gramEnd"/>
      <w:r w:rsidRPr="005B6ACE">
        <w:rPr>
          <w:rFonts w:ascii="Times New Roman" w:hAnsi="Times New Roman" w:cs="Times New Roman"/>
          <w:sz w:val="28"/>
          <w:szCs w:val="28"/>
        </w:rPr>
        <w:t>, у регіональних програмах адаптації, розвитку та соціальної згуртованості.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396" w:rsidRPr="00A332A7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A7">
        <w:rPr>
          <w:rFonts w:ascii="Times New Roman" w:hAnsi="Times New Roman" w:cs="Times New Roman"/>
          <w:b/>
          <w:sz w:val="28"/>
          <w:szCs w:val="28"/>
        </w:rPr>
        <w:t>VII. Координація діяльності та контроль за ходом виконання</w:t>
      </w:r>
      <w:r w:rsidRPr="006E53EE">
        <w:rPr>
          <w:rFonts w:ascii="Times New Roman" w:hAnsi="Times New Roman" w:cs="Times New Roman"/>
          <w:sz w:val="28"/>
          <w:szCs w:val="28"/>
        </w:rPr>
        <w:t xml:space="preserve"> </w:t>
      </w:r>
      <w:r w:rsidRPr="00A332A7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B01396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3EE">
        <w:rPr>
          <w:rFonts w:ascii="Times New Roman" w:hAnsi="Times New Roman" w:cs="Times New Roman"/>
          <w:sz w:val="28"/>
          <w:szCs w:val="28"/>
        </w:rPr>
        <w:t>Координація діяльності, спрямованої на виконання Програми,</w:t>
      </w:r>
      <w:r>
        <w:rPr>
          <w:rFonts w:ascii="Times New Roman" w:hAnsi="Times New Roman" w:cs="Times New Roman"/>
          <w:sz w:val="28"/>
          <w:szCs w:val="28"/>
        </w:rPr>
        <w:t xml:space="preserve"> та контроль за її виконанням </w:t>
      </w:r>
      <w:r w:rsidRPr="006E53EE">
        <w:rPr>
          <w:rFonts w:ascii="Times New Roman" w:hAnsi="Times New Roman" w:cs="Times New Roman"/>
          <w:sz w:val="28"/>
          <w:szCs w:val="28"/>
        </w:rPr>
        <w:t xml:space="preserve">покладається на </w:t>
      </w:r>
      <w:r>
        <w:rPr>
          <w:rFonts w:ascii="Times New Roman" w:hAnsi="Times New Roman" w:cs="Times New Roman"/>
          <w:sz w:val="28"/>
          <w:szCs w:val="28"/>
        </w:rPr>
        <w:t>управління спорту та молодіжної політики</w:t>
      </w:r>
      <w:r w:rsidRPr="00E8155D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</w:t>
      </w:r>
      <w:r>
        <w:rPr>
          <w:rFonts w:ascii="Times New Roman" w:hAnsi="Times New Roman" w:cs="Times New Roman"/>
          <w:sz w:val="28"/>
          <w:szCs w:val="28"/>
        </w:rPr>
        <w:t>ої адміністрації</w:t>
      </w:r>
      <w:r w:rsidRPr="00E8155D">
        <w:rPr>
          <w:rFonts w:ascii="Times New Roman" w:hAnsi="Times New Roman" w:cs="Times New Roman"/>
          <w:sz w:val="28"/>
          <w:szCs w:val="28"/>
        </w:rPr>
        <w:t>.</w:t>
      </w:r>
    </w:p>
    <w:p w:rsidR="00B01396" w:rsidRPr="00E8155D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реалізується за участю громадських організацій, молодіжних рад, органів</w:t>
      </w:r>
      <w:r w:rsidRPr="0058246B">
        <w:rPr>
          <w:rFonts w:ascii="Times New Roman" w:hAnsi="Times New Roman" w:cs="Times New Roman"/>
          <w:sz w:val="28"/>
          <w:szCs w:val="28"/>
        </w:rPr>
        <w:t xml:space="preserve"> студентського та учнівського самоврядування</w:t>
      </w:r>
      <w:r>
        <w:rPr>
          <w:rFonts w:ascii="Times New Roman" w:hAnsi="Times New Roman" w:cs="Times New Roman"/>
          <w:sz w:val="28"/>
          <w:szCs w:val="28"/>
        </w:rPr>
        <w:t>, молодіжних центрів/просторів</w:t>
      </w:r>
      <w:r w:rsidRPr="0058246B">
        <w:rPr>
          <w:rFonts w:ascii="Times New Roman" w:hAnsi="Times New Roman" w:cs="Times New Roman"/>
          <w:sz w:val="28"/>
          <w:szCs w:val="28"/>
        </w:rPr>
        <w:t>, інш</w:t>
      </w:r>
      <w:r>
        <w:rPr>
          <w:rFonts w:ascii="Times New Roman" w:hAnsi="Times New Roman" w:cs="Times New Roman"/>
          <w:sz w:val="28"/>
          <w:szCs w:val="28"/>
        </w:rPr>
        <w:t>их суб’єктів</w:t>
      </w:r>
      <w:r w:rsidRPr="0058246B">
        <w:rPr>
          <w:rFonts w:ascii="Times New Roman" w:hAnsi="Times New Roman" w:cs="Times New Roman"/>
          <w:sz w:val="28"/>
          <w:szCs w:val="28"/>
        </w:rPr>
        <w:t xml:space="preserve"> молодіжної роботи (за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396" w:rsidRPr="008B0518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18">
        <w:rPr>
          <w:rFonts w:ascii="Times New Roman" w:hAnsi="Times New Roman" w:cs="Times New Roman"/>
          <w:sz w:val="28"/>
          <w:szCs w:val="28"/>
        </w:rPr>
        <w:t>Відповідно до мети та завдань, визначених Програмою, замовник подає обласній раді:</w:t>
      </w:r>
    </w:p>
    <w:p w:rsidR="00B01396" w:rsidRPr="008B0518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18">
        <w:rPr>
          <w:rFonts w:ascii="Times New Roman" w:hAnsi="Times New Roman" w:cs="Times New Roman"/>
          <w:sz w:val="28"/>
          <w:szCs w:val="28"/>
        </w:rPr>
        <w:t xml:space="preserve">звіт про результати виконання Програми за підсумками року –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B0518">
        <w:rPr>
          <w:rFonts w:ascii="Times New Roman" w:hAnsi="Times New Roman" w:cs="Times New Roman"/>
          <w:sz w:val="28"/>
          <w:szCs w:val="28"/>
        </w:rPr>
        <w:t xml:space="preserve">10 лютого </w:t>
      </w:r>
      <w:r>
        <w:rPr>
          <w:rFonts w:ascii="Times New Roman" w:hAnsi="Times New Roman" w:cs="Times New Roman"/>
          <w:sz w:val="28"/>
          <w:szCs w:val="28"/>
        </w:rPr>
        <w:t>2027 року</w:t>
      </w:r>
      <w:r w:rsidRPr="008B0518">
        <w:rPr>
          <w:rFonts w:ascii="Times New Roman" w:hAnsi="Times New Roman" w:cs="Times New Roman"/>
          <w:sz w:val="28"/>
          <w:szCs w:val="28"/>
        </w:rPr>
        <w:t>;</w:t>
      </w:r>
    </w:p>
    <w:p w:rsidR="00B01396" w:rsidRPr="008B0518" w:rsidRDefault="00B01396" w:rsidP="00B0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18">
        <w:rPr>
          <w:rFonts w:ascii="Times New Roman" w:hAnsi="Times New Roman" w:cs="Times New Roman"/>
          <w:sz w:val="28"/>
          <w:szCs w:val="28"/>
        </w:rPr>
        <w:t>інформацію про хід виконання Програми – щоквартально до 15 числа місяця, наступного за звітним кварталом.</w:t>
      </w:r>
    </w:p>
    <w:p w:rsidR="00B01396" w:rsidRPr="0086635C" w:rsidRDefault="00B01396" w:rsidP="00B013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15"/>
      </w:tblGrid>
      <w:tr w:rsidR="00B01396" w:rsidTr="007C2D37">
        <w:tc>
          <w:tcPr>
            <w:tcW w:w="4361" w:type="dxa"/>
          </w:tcPr>
          <w:p w:rsidR="00B01396" w:rsidRPr="0058246B" w:rsidRDefault="00B01396" w:rsidP="00B0139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58246B">
              <w:rPr>
                <w:rFonts w:ascii="Times New Roman" w:hAnsi="Times New Roman" w:cs="Times New Roman"/>
                <w:b/>
                <w:sz w:val="28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5210" w:type="dxa"/>
          </w:tcPr>
          <w:p w:rsidR="00B01396" w:rsidRPr="0058246B" w:rsidRDefault="00B01396" w:rsidP="007C2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B01396" w:rsidRPr="0058246B" w:rsidRDefault="00B01396" w:rsidP="007C2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B01396" w:rsidRDefault="00B01396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B01396" w:rsidRPr="0058246B" w:rsidRDefault="00B01396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8246B">
              <w:rPr>
                <w:rFonts w:ascii="Times New Roman" w:hAnsi="Times New Roman" w:cs="Times New Roman"/>
                <w:b/>
                <w:sz w:val="28"/>
              </w:rPr>
              <w:t>Костянтин ЛИСЕЙКО</w:t>
            </w:r>
          </w:p>
        </w:tc>
      </w:tr>
    </w:tbl>
    <w:p w:rsidR="00485189" w:rsidRDefault="00485189"/>
    <w:sectPr w:rsidR="00485189" w:rsidSect="00B01396">
      <w:pgSz w:w="11906" w:h="16838"/>
      <w:pgMar w:top="1134" w:right="70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A8"/>
    <w:rsid w:val="00485189"/>
    <w:rsid w:val="00B01396"/>
    <w:rsid w:val="00C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2872"/>
  <w15:chartTrackingRefBased/>
  <w15:docId w15:val="{2813EDCD-A234-418F-A099-666F606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96"/>
    <w:pPr>
      <w:spacing w:after="200" w:line="27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396"/>
    <w:pPr>
      <w:spacing w:after="0" w:line="240" w:lineRule="auto"/>
      <w:ind w:firstLine="709"/>
    </w:pPr>
    <w:rPr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B01396"/>
    <w:pPr>
      <w:spacing w:after="0" w:line="240" w:lineRule="auto"/>
    </w:pPr>
    <w:rPr>
      <w:rFonts w:ascii="Calibri" w:hAnsi="Calibri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01396"/>
    <w:pPr>
      <w:ind w:left="720"/>
      <w:contextualSpacing/>
    </w:pPr>
  </w:style>
  <w:style w:type="character" w:customStyle="1" w:styleId="rvts44">
    <w:name w:val="rvts44"/>
    <w:basedOn w:val="a0"/>
    <w:rsid w:val="00B0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710-2018-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22/2019" TargetMode="External"/><Relationship Id="rId5" Type="http://schemas.openxmlformats.org/officeDocument/2006/relationships/hyperlink" Target="https://zakon.rada.gov.ua/laws/show/752-2022-%D1%80" TargetMode="External"/><Relationship Id="rId4" Type="http://schemas.openxmlformats.org/officeDocument/2006/relationships/hyperlink" Target="https://zakon.rada.gov.ua/laws/show/366-2021-%D1%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9811</Words>
  <Characters>5593</Characters>
  <Application>Microsoft Office Word</Application>
  <DocSecurity>0</DocSecurity>
  <Lines>46</Lines>
  <Paragraphs>30</Paragraphs>
  <ScaleCrop>false</ScaleCrop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2025-11-28T13:22:00Z</dcterms:created>
  <dcterms:modified xsi:type="dcterms:W3CDTF">2025-11-28T13:26:00Z</dcterms:modified>
</cp:coreProperties>
</file>