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09"/>
          <w:tab w:val="left" w:pos="3664" w:leader="none"/>
          <w:tab w:val="left" w:pos="4114" w:leader="none"/>
          <w:tab w:val="left" w:pos="5236" w:leader="none"/>
          <w:tab w:val="left" w:pos="6412" w:leader="none"/>
          <w:tab w:val="left" w:pos="7328" w:leader="none"/>
          <w:tab w:val="left" w:pos="9163"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left="5529" w:right="0"/>
        <w:contextualSpacing/>
        <w:rPr>
          <w:rFonts w:ascii="Times New Roman" w:hAnsi="Times New Roman" w:eastAsia="Times New Roman" w:cs="Times New Roman"/>
          <w:b/>
          <w:color w:val="000000"/>
          <w:kern w:val="0"/>
          <w:sz w:val="28"/>
          <w:szCs w:val="28"/>
          <w:lang w:val="en-US" w:bidi="ar-SA"/>
        </w:rPr>
      </w:pPr>
      <w:r>
        <w:rPr>
          <w:rFonts w:eastAsia="Times New Roman" w:cs="Times New Roman" w:ascii="Times New Roman" w:hAnsi="Times New Roman"/>
          <w:b/>
          <w:color w:val="000000"/>
          <w:kern w:val="0"/>
          <w:sz w:val="28"/>
          <w:szCs w:val="28"/>
          <w:lang w:val="en-US" w:bidi="ar-SA"/>
        </w:rPr>
        <w:t xml:space="preserve">ЗАТВЕРДЖЕНО </w:t>
      </w:r>
    </w:p>
    <w:p>
      <w:pPr>
        <w:pStyle w:val="Normal"/>
        <w:tabs>
          <w:tab w:val="clear" w:pos="709"/>
          <w:tab w:val="left" w:pos="3664" w:leader="none"/>
          <w:tab w:val="left" w:pos="4114" w:leader="none"/>
          <w:tab w:val="left" w:pos="5236" w:leader="none"/>
          <w:tab w:val="left" w:pos="6412" w:leader="none"/>
          <w:tab w:val="left" w:pos="7328" w:leader="none"/>
          <w:tab w:val="left" w:pos="9163"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left="5529" w:right="0"/>
        <w:contextualSpacing/>
        <w:rPr>
          <w:rFonts w:ascii="Times New Roman" w:hAnsi="Times New Roman" w:eastAsia="Times New Roman" w:cs="Times New Roman"/>
          <w:b/>
          <w:color w:val="000000"/>
          <w:kern w:val="0"/>
          <w:sz w:val="28"/>
          <w:szCs w:val="28"/>
          <w:lang w:val="en-US" w:bidi="ar-SA"/>
        </w:rPr>
      </w:pPr>
      <w:r>
        <w:rPr>
          <w:rFonts w:eastAsia="Times New Roman" w:cs="Times New Roman" w:ascii="Times New Roman" w:hAnsi="Times New Roman"/>
          <w:b/>
          <w:color w:val="000000"/>
          <w:kern w:val="0"/>
          <w:sz w:val="28"/>
          <w:szCs w:val="28"/>
          <w:lang w:val="en-US" w:bidi="ar-SA"/>
        </w:rPr>
        <w:t xml:space="preserve">розпорядження </w:t>
      </w:r>
    </w:p>
    <w:p>
      <w:pPr>
        <w:pStyle w:val="Normal"/>
        <w:tabs>
          <w:tab w:val="clear" w:pos="709"/>
          <w:tab w:val="left" w:pos="3664" w:leader="none"/>
          <w:tab w:val="left" w:pos="4114" w:leader="none"/>
          <w:tab w:val="left" w:pos="5236" w:leader="none"/>
          <w:tab w:val="left" w:pos="6412" w:leader="none"/>
          <w:tab w:val="left" w:pos="7328" w:leader="none"/>
          <w:tab w:val="left" w:pos="9163"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left="5529" w:right="0"/>
        <w:contextualSpacing/>
        <w:rPr>
          <w:rFonts w:ascii="Times New Roman" w:hAnsi="Times New Roman" w:eastAsia="Times New Roman" w:cs="Times New Roman"/>
          <w:b/>
          <w:color w:val="000000"/>
          <w:kern w:val="0"/>
          <w:sz w:val="28"/>
          <w:szCs w:val="28"/>
          <w:lang w:val="en-US" w:bidi="ar-SA"/>
        </w:rPr>
      </w:pPr>
      <w:r>
        <w:rPr>
          <w:rFonts w:eastAsia="Times New Roman" w:cs="Times New Roman" w:ascii="Times New Roman" w:hAnsi="Times New Roman"/>
          <w:b/>
          <w:color w:val="000000"/>
          <w:kern w:val="0"/>
          <w:sz w:val="28"/>
          <w:szCs w:val="28"/>
          <w:lang w:val="en-US" w:bidi="ar-SA"/>
        </w:rPr>
        <w:t>Івано-Франківської</w:t>
      </w:r>
    </w:p>
    <w:p>
      <w:pPr>
        <w:pStyle w:val="Normal"/>
        <w:tabs>
          <w:tab w:val="clear" w:pos="709"/>
          <w:tab w:val="left" w:pos="3664" w:leader="none"/>
          <w:tab w:val="left" w:pos="4114" w:leader="none"/>
          <w:tab w:val="left" w:pos="5236" w:leader="none"/>
          <w:tab w:val="left" w:pos="6412" w:leader="none"/>
          <w:tab w:val="left" w:pos="7328" w:leader="none"/>
          <w:tab w:val="left" w:pos="9163"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left="5529" w:right="0"/>
        <w:contextualSpacing/>
        <w:rPr>
          <w:rFonts w:ascii="Times New Roman" w:hAnsi="Times New Roman" w:eastAsia="Times New Roman" w:cs="Times New Roman"/>
          <w:b/>
          <w:color w:val="000000"/>
          <w:kern w:val="0"/>
          <w:sz w:val="28"/>
          <w:szCs w:val="28"/>
          <w:lang w:val="en-US" w:bidi="ar-SA"/>
        </w:rPr>
      </w:pPr>
      <w:r>
        <w:rPr>
          <w:rFonts w:eastAsia="Times New Roman" w:cs="Times New Roman" w:ascii="Times New Roman" w:hAnsi="Times New Roman"/>
          <w:b/>
          <w:color w:val="000000"/>
          <w:kern w:val="0"/>
          <w:sz w:val="28"/>
          <w:szCs w:val="28"/>
          <w:lang w:val="en-US" w:bidi="ar-SA"/>
        </w:rPr>
        <w:t xml:space="preserve">обласної військової </w:t>
      </w:r>
    </w:p>
    <w:p>
      <w:pPr>
        <w:pStyle w:val="Normal"/>
        <w:tabs>
          <w:tab w:val="clear" w:pos="709"/>
          <w:tab w:val="left" w:pos="3664" w:leader="none"/>
          <w:tab w:val="left" w:pos="4114" w:leader="none"/>
          <w:tab w:val="left" w:pos="5236" w:leader="none"/>
          <w:tab w:val="left" w:pos="6412" w:leader="none"/>
          <w:tab w:val="left" w:pos="7328" w:leader="none"/>
          <w:tab w:val="left" w:pos="9163"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left="5529" w:right="0"/>
        <w:contextualSpacing/>
        <w:rPr>
          <w:rFonts w:ascii="Times New Roman" w:hAnsi="Times New Roman" w:eastAsia="Times New Roman" w:cs="Times New Roman"/>
          <w:b/>
          <w:color w:val="000000"/>
          <w:kern w:val="0"/>
          <w:sz w:val="28"/>
          <w:szCs w:val="28"/>
          <w:lang w:val="en-US" w:bidi="ar-SA"/>
        </w:rPr>
      </w:pPr>
      <w:r>
        <w:rPr>
          <w:rFonts w:eastAsia="Times New Roman" w:cs="Times New Roman" w:ascii="Times New Roman" w:hAnsi="Times New Roman"/>
          <w:b/>
          <w:color w:val="000000"/>
          <w:kern w:val="0"/>
          <w:sz w:val="28"/>
          <w:szCs w:val="28"/>
          <w:lang w:val="en-US" w:bidi="ar-SA"/>
        </w:rPr>
        <w:t>адміністрації</w:t>
      </w:r>
    </w:p>
    <w:p>
      <w:pPr>
        <w:pStyle w:val="Normal"/>
        <w:tabs>
          <w:tab w:val="clear" w:pos="709"/>
          <w:tab w:val="left" w:pos="3664" w:leader="none"/>
          <w:tab w:val="left" w:pos="4114" w:leader="none"/>
          <w:tab w:val="left" w:pos="5236" w:leader="none"/>
          <w:tab w:val="left" w:pos="6412" w:leader="none"/>
          <w:tab w:val="left" w:pos="7328" w:leader="none"/>
          <w:tab w:val="left" w:pos="9163"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ind w:left="5529" w:right="0"/>
        <w:contextualSpacing/>
        <w:rPr>
          <w:rFonts w:ascii="Times New Roman" w:hAnsi="Times New Roman" w:eastAsia="Times New Roman" w:cs="Times New Roman"/>
          <w:b/>
          <w:bCs/>
          <w:color w:val="000000"/>
          <w:kern w:val="0"/>
          <w:sz w:val="28"/>
          <w:szCs w:val="28"/>
          <w:lang w:val="en-US" w:bidi="ar-SA"/>
        </w:rPr>
      </w:pPr>
      <w:r>
        <w:rPr>
          <w:rFonts w:eastAsia="Times New Roman" w:cs="Times New Roman" w:ascii="Times New Roman" w:hAnsi="Times New Roman"/>
          <w:b/>
          <w:bCs/>
          <w:color w:val="000000"/>
          <w:kern w:val="0"/>
          <w:sz w:val="28"/>
          <w:szCs w:val="28"/>
          <w:lang w:val="en-US" w:bidi="ar-SA"/>
        </w:rPr>
        <w:t xml:space="preserve">від </w:t>
      </w:r>
      <w:r>
        <w:rPr>
          <w:rFonts w:eastAsia="Times New Roman" w:cs="Times New Roman" w:ascii="Times New Roman" w:hAnsi="Times New Roman"/>
          <w:b/>
          <w:bCs/>
          <w:color w:val="000000"/>
          <w:kern w:val="0"/>
          <w:sz w:val="28"/>
          <w:szCs w:val="28"/>
          <w:lang w:val="ru-RU" w:bidi="ar-SA"/>
        </w:rPr>
        <w:t>__________</w:t>
      </w:r>
      <w:r>
        <w:rPr>
          <w:rFonts w:eastAsia="Times New Roman" w:cs="Times New Roman" w:ascii="Times New Roman" w:hAnsi="Times New Roman"/>
          <w:b/>
          <w:bCs/>
          <w:color w:val="000000"/>
          <w:kern w:val="0"/>
          <w:sz w:val="28"/>
          <w:szCs w:val="28"/>
          <w:lang w:val="en-US" w:bidi="ar-SA"/>
        </w:rPr>
        <w:t xml:space="preserve"> №</w:t>
      </w:r>
      <w:r>
        <w:rPr>
          <w:rFonts w:eastAsia="Times New Roman" w:cs="Times New Roman" w:ascii="Times New Roman" w:hAnsi="Times New Roman"/>
          <w:b/>
          <w:bCs/>
          <w:color w:val="000000"/>
          <w:kern w:val="0"/>
          <w:sz w:val="28"/>
          <w:szCs w:val="28"/>
          <w:lang w:val="uk-UA" w:bidi="ar-SA"/>
        </w:rPr>
        <w:t xml:space="preserve"> </w:t>
      </w:r>
      <w:r>
        <w:rPr>
          <w:rFonts w:eastAsia="Times New Roman" w:cs="Times New Roman" w:ascii="Times New Roman" w:hAnsi="Times New Roman"/>
          <w:b/>
          <w:bCs/>
          <w:color w:val="000000"/>
          <w:kern w:val="0"/>
          <w:sz w:val="28"/>
          <w:szCs w:val="28"/>
          <w:lang w:val="ru-RU" w:bidi="ar-SA"/>
        </w:rPr>
        <w:t>______</w:t>
      </w:r>
    </w:p>
    <w:p>
      <w:pPr>
        <w:pStyle w:val="BodyText"/>
        <w:spacing w:lineRule="auto" w:line="240" w:before="0" w:after="0"/>
        <w:jc w:val="both"/>
        <w:rPr>
          <w:rFonts w:ascii="Times New Roman" w:hAnsi="Times New Roman" w:eastAsia="Times New Roman" w:cs="Times New Roman"/>
          <w:b/>
          <w:bCs/>
          <w:color w:val="000000"/>
          <w:kern w:val="0"/>
          <w:sz w:val="28"/>
          <w:szCs w:val="28"/>
          <w:lang w:val="uk-UA" w:bidi="ar-SA"/>
        </w:rPr>
      </w:pPr>
      <w:r>
        <w:rPr>
          <w:rFonts w:eastAsia="Times New Roman" w:cs="Times New Roman" w:ascii="Times New Roman" w:hAnsi="Times New Roman"/>
          <w:b/>
          <w:bCs/>
          <w:color w:val="000000"/>
          <w:kern w:val="0"/>
          <w:sz w:val="28"/>
          <w:szCs w:val="28"/>
          <w:lang w:val="uk-UA" w:bidi="ar-SA"/>
        </w:rPr>
      </w:r>
    </w:p>
    <w:p>
      <w:pPr>
        <w:pStyle w:val="BodyText"/>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Heading1"/>
        <w:ind w:left="0" w:right="0"/>
        <w:jc w:val="center"/>
        <w:rPr/>
      </w:pPr>
      <w:r>
        <w:rPr/>
        <w:t>ПОЛОЖЕННЯ</w:t>
      </w:r>
    </w:p>
    <w:p>
      <w:pPr>
        <w:pStyle w:val="Normal"/>
        <w:jc w:val="center"/>
        <w:rPr>
          <w:rFonts w:ascii="Times New Roman" w:hAnsi="Times New Roman" w:cs="Times New Roman"/>
          <w:b/>
          <w:sz w:val="28"/>
          <w:szCs w:val="28"/>
          <w:lang w:val="uk-UA"/>
        </w:rPr>
      </w:pPr>
      <w:r>
        <w:rPr>
          <w:rFonts w:cs="Times New Roman" w:ascii="Times New Roman" w:hAnsi="Times New Roman"/>
          <w:b/>
          <w:sz w:val="28"/>
          <w:szCs w:val="28"/>
          <w:lang w:val="uk-UA"/>
        </w:rPr>
        <w:t xml:space="preserve">про організацію спостережень щодо оцінки радіаційної </w:t>
      </w:r>
    </w:p>
    <w:p>
      <w:pPr>
        <w:pStyle w:val="Normal"/>
        <w:jc w:val="center"/>
        <w:rPr>
          <w:b/>
          <w:lang w:val="ru-RU"/>
        </w:rPr>
      </w:pPr>
      <w:r>
        <w:rPr>
          <w:rFonts w:cs="Times New Roman" w:ascii="Times New Roman" w:hAnsi="Times New Roman"/>
          <w:b/>
          <w:sz w:val="28"/>
          <w:szCs w:val="28"/>
          <w:lang w:val="uk-UA"/>
        </w:rPr>
        <w:t>та хімічної обстановки на території Івано-Франківської області</w:t>
      </w:r>
    </w:p>
    <w:p>
      <w:pPr>
        <w:pStyle w:val="BodyText"/>
        <w:spacing w:lineRule="auto" w:line="240" w:before="0" w:after="0"/>
        <w:ind w:firstLine="737" w:right="0"/>
        <w:jc w:val="both"/>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ListParagraph"/>
        <w:ind w:left="0" w:right="0"/>
        <w:rPr>
          <w:sz w:val="28"/>
          <w:szCs w:val="28"/>
        </w:rPr>
      </w:pPr>
      <w:r>
        <w:rPr>
          <w:sz w:val="28"/>
          <w:szCs w:val="28"/>
        </w:rPr>
        <w:t>1. Загальні положення.</w:t>
      </w:r>
    </w:p>
    <w:p>
      <w:pPr>
        <w:pStyle w:val="ListParagraph"/>
        <w:ind w:left="0" w:right="0"/>
        <w:rPr>
          <w:sz w:val="28"/>
          <w:szCs w:val="28"/>
        </w:rPr>
      </w:pPr>
      <w:r>
        <w:rPr>
          <w:sz w:val="28"/>
          <w:szCs w:val="28"/>
        </w:rPr>
        <w:t>1.1. Положення про організацію спостережень щодо оцінки радіаційної та хімічної обстановки на території Івано-Франківської області (далі – Положення) встановлює порядок спостережень щодо оцінки радіаційної та хімічної обстановки у разі загрози виникнення та виникнення надзвичайних ситуацій, пов’язаних з викидом радіоактивних та небезпечних хімічних речовин, у мирний час та в особливий період.</w:t>
      </w:r>
    </w:p>
    <w:p>
      <w:pPr>
        <w:pStyle w:val="ListParagraph"/>
        <w:ind w:left="0" w:right="0"/>
        <w:rPr>
          <w:sz w:val="28"/>
          <w:szCs w:val="28"/>
        </w:rPr>
      </w:pPr>
      <w:r>
        <w:rPr>
          <w:sz w:val="28"/>
          <w:szCs w:val="28"/>
        </w:rPr>
        <w:t>1.2. У межах цього Положення терміни вжито в таких значеннях:  </w:t>
      </w:r>
    </w:p>
    <w:p>
      <w:pPr>
        <w:pStyle w:val="BodyText"/>
        <w:tabs>
          <w:tab w:val="clear" w:pos="709"/>
          <w:tab w:val="left" w:pos="567" w:leader="none"/>
        </w:tabs>
        <w:spacing w:lineRule="auto" w:line="240" w:before="0" w:after="0"/>
        <w:ind w:firstLine="567" w:right="0"/>
        <w:jc w:val="both"/>
        <w:rPr>
          <w:lang w:val="uk-UA"/>
        </w:rPr>
      </w:pPr>
      <w:r>
        <w:rPr>
          <w:rFonts w:cs="Times New Roman" w:ascii="Times New Roman" w:hAnsi="Times New Roman"/>
          <w:sz w:val="28"/>
          <w:szCs w:val="28"/>
          <w:lang w:val="uk-UA"/>
        </w:rPr>
        <w:t>диспетчерська служба – передбачені штатним розписом підприємства, організації або установи (далі – підприємство), підрозділ або особи, які здійснюють цілодобове чергування;</w:t>
      </w:r>
    </w:p>
    <w:p>
      <w:pPr>
        <w:pStyle w:val="BodyText"/>
        <w:tabs>
          <w:tab w:val="clear" w:pos="709"/>
          <w:tab w:val="left" w:pos="567" w:leader="none"/>
        </w:tabs>
        <w:spacing w:lineRule="auto" w:line="240" w:before="0" w:after="0"/>
        <w:ind w:firstLine="567" w:right="0"/>
        <w:jc w:val="both"/>
        <w:rPr>
          <w:lang w:val="ru-RU"/>
        </w:rPr>
      </w:pPr>
      <w:r>
        <w:rPr>
          <w:rFonts w:cs="Times New Roman" w:ascii="Times New Roman" w:hAnsi="Times New Roman"/>
          <w:sz w:val="28"/>
          <w:szCs w:val="28"/>
          <w:lang w:val="uk-UA"/>
        </w:rPr>
        <w:t>зона відповідальності – визначена територія, на якій здійснюється радіаційне та хімічне спостереження відповідно до встановлених завдань;</w:t>
      </w:r>
    </w:p>
    <w:p>
      <w:pPr>
        <w:pStyle w:val="BodyText"/>
        <w:tabs>
          <w:tab w:val="clear" w:pos="709"/>
          <w:tab w:val="left" w:pos="567" w:leader="none"/>
        </w:tabs>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пост радіаційного та хімічного спостереження (далі – ПРХС) – формування цивільного захисту, що здійснює періодичне або постійне радіаційне та хімічне спостереження відповідно до встановлених завдань;</w:t>
      </w:r>
    </w:p>
    <w:p>
      <w:pPr>
        <w:pStyle w:val="BodyText"/>
        <w:tabs>
          <w:tab w:val="clear" w:pos="709"/>
          <w:tab w:val="left" w:pos="567" w:leader="none"/>
        </w:tabs>
        <w:spacing w:lineRule="auto" w:line="240" w:before="0" w:after="0"/>
        <w:ind w:firstLine="567" w:right="0"/>
        <w:jc w:val="both"/>
        <w:rPr>
          <w:lang w:val="uk-UA"/>
        </w:rPr>
      </w:pPr>
      <w:r>
        <w:rPr>
          <w:rFonts w:cs="Times New Roman" w:ascii="Times New Roman" w:hAnsi="Times New Roman"/>
          <w:sz w:val="28"/>
          <w:szCs w:val="28"/>
          <w:lang w:val="uk-UA"/>
        </w:rPr>
        <w:t>радіаційна та хімічна обстановка – обстановка, що склалася на території підприємства або адміністративно-територіальної одиниці внаслідок забруднення навколишнього середовища радіоактивними та небезпечними хімічними речовинами;</w:t>
      </w:r>
    </w:p>
    <w:p>
      <w:pPr>
        <w:pStyle w:val="BodyText"/>
        <w:tabs>
          <w:tab w:val="clear" w:pos="709"/>
          <w:tab w:val="left" w:pos="567" w:leader="none"/>
        </w:tabs>
        <w:spacing w:lineRule="auto" w:line="240" w:before="0" w:after="0"/>
        <w:ind w:firstLine="567" w:right="0"/>
        <w:jc w:val="both"/>
        <w:rPr>
          <w:lang w:val="uk-UA"/>
        </w:rPr>
      </w:pPr>
      <w:r>
        <w:rPr>
          <w:rFonts w:cs="Times New Roman" w:ascii="Times New Roman" w:hAnsi="Times New Roman"/>
          <w:sz w:val="28"/>
          <w:szCs w:val="28"/>
          <w:lang w:val="uk-UA"/>
        </w:rPr>
        <w:t>радіаційне та хімічне спостереження – заходи щодо збирання, опрацювання, передавання, збереження та аналізу інформації про радіаційну та хімічну обстановку;</w:t>
      </w:r>
    </w:p>
    <w:p>
      <w:pPr>
        <w:pStyle w:val="BodyText"/>
        <w:tabs>
          <w:tab w:val="clear" w:pos="709"/>
          <w:tab w:val="left" w:pos="567" w:leader="none"/>
        </w:tabs>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розрахунково-аналітична група (далі – РАГ) – формування цивільного захисту, що здійснює збирання, опрацювання, аналіз та збереження інформації про радіаційну та хімічну обстановку для органів управління єдиної державної системи цивільного захисту (далі – ЄДС ЦЗ).</w:t>
      </w:r>
    </w:p>
    <w:p>
      <w:pPr>
        <w:pStyle w:val="BodyText"/>
        <w:tabs>
          <w:tab w:val="clear" w:pos="709"/>
          <w:tab w:val="left" w:pos="567" w:leader="none"/>
        </w:tabs>
        <w:spacing w:lineRule="auto" w:line="240" w:before="0" w:after="0"/>
        <w:ind w:firstLine="567" w:right="0"/>
        <w:jc w:val="both"/>
        <w:rPr>
          <w:lang w:val="uk-UA"/>
        </w:rPr>
      </w:pPr>
      <w:r>
        <w:rPr>
          <w:rFonts w:cs="Times New Roman" w:ascii="Times New Roman" w:hAnsi="Times New Roman"/>
          <w:sz w:val="28"/>
          <w:szCs w:val="28"/>
          <w:lang w:val="uk-UA"/>
        </w:rPr>
        <w:t>Інші терміни, використані в цьому Положенні, вживаються в значеннях, наведених у Кодексі цивільного захисту України, постанові Кабінету Міністрів України від 09.01.2014 № 11 «Про затвердження Положення про єдину державну систему цивільного захисту», наказі Міністерства внутрішніх справ України від 05.11.2018 № 879 «Про затвердження Правил техногенної безпеки».</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1.3. Радіаційне та хімічне спостереження здійснюється з метою своєчасного отримання органами управління територіальної підсистеми    ЄДС ЦЗ та її ланок інформації про забруднення навколишнього середовища радіоактивними та небезпечними хімічними речовинами для прийняття рішень щодо реагування на надзвичайні ситуації, пов’язані з викидом радіоактивних та небезпечних хімічних речовин.</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2. Організація спостережень.</w:t>
      </w:r>
    </w:p>
    <w:p>
      <w:pPr>
        <w:pStyle w:val="BodyText"/>
        <w:spacing w:lineRule="auto" w:line="240" w:before="0" w:after="0"/>
        <w:ind w:firstLine="567" w:right="0"/>
        <w:jc w:val="both"/>
        <w:rPr/>
      </w:pPr>
      <w:r>
        <w:rPr>
          <w:rFonts w:cs="Times New Roman" w:ascii="Times New Roman" w:hAnsi="Times New Roman"/>
          <w:sz w:val="28"/>
          <w:szCs w:val="28"/>
          <w:lang w:val="uk-UA"/>
        </w:rPr>
        <w:t>2.1. Радіаційне та хімічне спостереження здійснюють:</w:t>
      </w:r>
    </w:p>
    <w:p>
      <w:pPr>
        <w:pStyle w:val="BodyText"/>
        <w:spacing w:lineRule="auto" w:line="240" w:before="0" w:after="0"/>
        <w:ind w:firstLine="567" w:right="0"/>
        <w:jc w:val="both"/>
        <w:rPr/>
      </w:pPr>
      <w:r>
        <w:rPr>
          <w:rFonts w:cs="Times New Roman" w:ascii="Times New Roman" w:hAnsi="Times New Roman"/>
          <w:sz w:val="28"/>
          <w:szCs w:val="28"/>
          <w:lang w:val="uk-UA"/>
        </w:rPr>
        <w:t>диспетчерські служби – на всіх об’єктах підвищеної небезпеки, які виробляють, використовують, транспортують, переробляють або зберігають радіоактивні та небезпечні хімічні речовини;</w:t>
      </w:r>
    </w:p>
    <w:p>
      <w:pPr>
        <w:pStyle w:val="BodyText"/>
        <w:spacing w:lineRule="auto" w:line="240" w:before="0" w:after="0"/>
        <w:ind w:firstLine="567" w:right="0"/>
        <w:jc w:val="both"/>
        <w:rPr/>
      </w:pPr>
      <w:r>
        <w:rPr>
          <w:rFonts w:cs="Times New Roman" w:ascii="Times New Roman" w:hAnsi="Times New Roman"/>
          <w:sz w:val="28"/>
          <w:szCs w:val="28"/>
          <w:lang w:val="uk-UA"/>
        </w:rPr>
        <w:t>ПРХС, що створені суб’єктами господарювання на підприємствах, відповідно до Порядку утворення, завдань та функцій формувань цивільного захисту, затвердженого постановою Кабінету Міністрів України від 09.10.2013 № 787.</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2.2. Залежно від режимів функціонування ЄДС ЦЗ радіаційне і хімічне спостереження здійснюється:</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ab/>
        <w:t>у режимі повсякденного функціонування – диспетчерськими службами в межах зони відповідальності радіаційного контролю за допомогою стаціонарних приладів щодо перевищення природного радіаційного фону та шляхом візуального контролю щодо появи аномальних явищ (кольорової хмари або підозрілих крапель на ґрунті, рослинах, поверхнях будівель). Спостереження здійснюється 4 рази на добу: о 05:00, 11:00, 17:00, 23:00;</w:t>
      </w:r>
    </w:p>
    <w:p>
      <w:pPr>
        <w:pStyle w:val="BodyText"/>
        <w:spacing w:lineRule="auto" w:line="240" w:before="0" w:after="0"/>
        <w:ind w:firstLine="567" w:right="0"/>
        <w:jc w:val="both"/>
        <w:rPr/>
      </w:pPr>
      <w:r>
        <w:rPr>
          <w:rFonts w:cs="Times New Roman" w:ascii="Times New Roman" w:hAnsi="Times New Roman"/>
          <w:sz w:val="28"/>
          <w:szCs w:val="28"/>
          <w:lang w:val="uk-UA"/>
        </w:rPr>
        <w:tab/>
        <w:t>у режимі підвищеної готовності надзвичайної ситуації або надзвичайного стану – шляхом посилення спостереження із залученням диспетчерських служб та ПРХС, вимірювання в межах зони відповідальності потужності експозиційної (еквівалентної) дози, визначення типу і концентрації небезпечних хімічних речовин та відбору проб ґрунту, води для проведення лабораторних досліджень. Спостереження здійснюється в строки, визначені органами управління ЄДС ЦЗ залежно від обстановки;</w:t>
      </w:r>
    </w:p>
    <w:p>
      <w:pPr>
        <w:pStyle w:val="BodyText"/>
        <w:spacing w:lineRule="auto" w:line="240" w:before="0" w:after="0"/>
        <w:ind w:firstLine="567" w:right="0"/>
        <w:jc w:val="both"/>
        <w:rPr/>
      </w:pPr>
      <w:r>
        <w:rPr>
          <w:rFonts w:cs="Times New Roman" w:ascii="Times New Roman" w:hAnsi="Times New Roman"/>
          <w:sz w:val="28"/>
          <w:szCs w:val="28"/>
          <w:lang w:val="uk-UA"/>
        </w:rPr>
        <w:tab/>
        <w:t>у режимі функціонування ЄДС ЦЗ в особливий період – із залученням диспетчерських служб та ПРХС згідно з планами цивільного захисту на особливий період.</w:t>
      </w:r>
    </w:p>
    <w:p>
      <w:pPr>
        <w:pStyle w:val="BodyText"/>
        <w:spacing w:lineRule="auto" w:line="240" w:before="0" w:after="0"/>
        <w:ind w:firstLine="567" w:right="0"/>
        <w:jc w:val="both"/>
        <w:rPr/>
      </w:pPr>
      <w:r>
        <w:rPr>
          <w:rFonts w:cs="Times New Roman" w:ascii="Times New Roman" w:hAnsi="Times New Roman"/>
          <w:sz w:val="28"/>
          <w:szCs w:val="28"/>
          <w:lang w:val="uk-UA"/>
        </w:rPr>
        <w:tab/>
        <w:t>2.3. Радіаційне та хімічне спостереження має забезпечувати:</w:t>
      </w:r>
    </w:p>
    <w:p>
      <w:pPr>
        <w:pStyle w:val="BodyText"/>
        <w:spacing w:lineRule="auto" w:line="240" w:before="0" w:after="0"/>
        <w:ind w:firstLine="567" w:right="0"/>
        <w:jc w:val="both"/>
        <w:rPr/>
      </w:pPr>
      <w:r>
        <w:rPr>
          <w:rFonts w:cs="Times New Roman" w:ascii="Times New Roman" w:hAnsi="Times New Roman"/>
          <w:sz w:val="28"/>
          <w:szCs w:val="28"/>
          <w:lang w:val="uk-UA"/>
        </w:rPr>
        <w:tab/>
        <w:t>найбільш максимальне охоплення території, де проживає населення;</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ab/>
        <w:t>оперативний збір, узагальнення та опрацювання інформації про радіаційну та хімічну обстановку в разі виникнення загрози та виникнення надзвичайних ситуацій, пов’язаних з викидом радіоактивних та небезпечних хімічних речовин;</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кваліфікований аналіз й оцінку радіаційної та хімічної обстановки для прийняття рішень щодо здійснення заходів захисту населення. </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3. Здійснення спостережень диспетчерськими службами.</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3.1. Радіаційне та хімічне спостереження на підприємствах, які  мають </w:t>
      </w:r>
    </w:p>
    <w:p>
      <w:pPr>
        <w:pStyle w:val="BodyText"/>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диспетчерську службу з режимом цілодобового чергування, здійснюється відповідно до розділу 2 цього Положення. Безпосередньо заходи щодо радіаційного та хімічного спостереження здійснює черговий диспетчер. Під час приймання-передавання зміни черговий диспетчер повинен ознайомитися з обстановкою в зоні відповідальності, записами в журналі радіаційного та хімічного спостереження, а також візуально оглянути цілісність приладів радіаційної і хімічної розвідки та перевірити їх роботу. На кожен прилад має бути інструкція з використання, технічний паспорт та свідоцтво про метрологічну повірку.</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3.2. У разі встановлення потужності експозиційної (еквівалентної) дози 0,05 мР/год (0,5 мкЗв/год) і вище, появи аномальних явищ (кольорової хмари або підозрілих крапель на ґрунті, рослинах, поверхнях будівель) черговий диспетчер негайно інформує телефоном керівництво підприємства, оперативного чергового департаменту з питань цивільного захисту, оборонної роботи та взаємодії з правоохоронними органами Івано-Франківської облдержадміністрації (далі – оперативний черговий ОДА) та начальника чергової зміни оперативно-координаційного центру Головного управління ДСНС України в області (далі – черговий ДСНС).</w:t>
      </w:r>
    </w:p>
    <w:p>
      <w:pPr>
        <w:pStyle w:val="BodyText"/>
        <w:spacing w:lineRule="auto" w:line="240" w:before="0" w:after="0"/>
        <w:ind w:firstLine="567" w:right="0"/>
        <w:jc w:val="both"/>
        <w:rPr/>
      </w:pPr>
      <w:r>
        <w:rPr>
          <w:rFonts w:cs="Times New Roman" w:ascii="Times New Roman" w:hAnsi="Times New Roman"/>
          <w:sz w:val="28"/>
          <w:szCs w:val="28"/>
          <w:lang w:val="uk-UA"/>
        </w:rPr>
        <w:t>Після інформування диспетчер за допомогою приладів радіаційної і хімічної розвідки та шляхом відбору проб уточнює потужність експозиційної (еквівалентної) дози на місцевості, тип та концентрацію небезпечної хімічної речовини в повітрі, здійснює відбір проб забрудненого ґрунту для дослідження в радіометричній (хімічній) лабораторії, уточнює метеорологічні дані і протягом однієї години надсилає черговому ДСНС письмове повідомлення про радіоактивне і хімічне забруднення (додаток 1).</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Надалі інформація щодо результатів радіаційного та хімічного спостереження передається телефоном оперативному черговому ОДА, черговому ДСНС у терміни, визначені органом управління територіальної підсистеми ЄДС ЦЗ.</w:t>
      </w:r>
    </w:p>
    <w:p>
      <w:pPr>
        <w:pStyle w:val="BodyText"/>
        <w:spacing w:lineRule="auto" w:line="240" w:before="0" w:after="0"/>
        <w:ind w:firstLine="567" w:right="0"/>
        <w:jc w:val="both"/>
        <w:rPr/>
      </w:pPr>
      <w:r>
        <w:rPr>
          <w:rFonts w:cs="Times New Roman" w:ascii="Times New Roman" w:hAnsi="Times New Roman"/>
          <w:sz w:val="28"/>
          <w:szCs w:val="28"/>
          <w:lang w:val="uk-UA"/>
        </w:rPr>
        <w:t>У разі введення режимів підвищеної готовності, надзвичайної ситуації та в особливий період диспетчер також передає телефоном інформацію щодо результатів радіаційного та хімічного спостереження до РАГ району або територіальної громади, на території яких функціонує диспетчерська служба, у терміни, визначені органом управління територіальної підсистеми ЄДС ЦЗ.</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Отримані за результатами власних вимірів дані про стан радіаційної та хімічної обстановки черговий диспетчер заносить у журнал радіаційного та хімічного спостереження (додаток 2).</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4. Здійснення спостережень постами радіаційного та хімічного спостереження.</w:t>
      </w:r>
    </w:p>
    <w:p>
      <w:pPr>
        <w:pStyle w:val="BodyText"/>
        <w:spacing w:lineRule="auto" w:line="240" w:before="0" w:after="0"/>
        <w:ind w:firstLine="567" w:right="0"/>
        <w:jc w:val="both"/>
        <w:rPr/>
      </w:pPr>
      <w:r>
        <w:rPr>
          <w:rFonts w:cs="Times New Roman" w:ascii="Times New Roman" w:hAnsi="Times New Roman"/>
          <w:sz w:val="28"/>
          <w:szCs w:val="28"/>
          <w:lang w:val="uk-UA"/>
        </w:rPr>
        <w:t>4.1. У режимах підвищеної готовності, надзвичайної ситуації та в особливий період до здійснення радіаційного та хімічного спостереження залучаються ПРХС.</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4.2. У разі  переведення  територіальної  підсистеми  ЄДС ЦЗ в  режим</w:t>
      </w:r>
    </w:p>
    <w:p>
      <w:pPr>
        <w:pStyle w:val="BodyText"/>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підвищеної готовності працівники ПРХС прибувають на підприємство, отримують та перевіряють справність і комплектність приладів радіаційної і хімічної розвідки, засобів зв’язку та засобів індивідуального захисту.</w:t>
      </w:r>
    </w:p>
    <w:p>
      <w:pPr>
        <w:pStyle w:val="BodyText"/>
        <w:spacing w:lineRule="auto" w:line="240" w:before="0" w:after="0"/>
        <w:ind w:firstLine="567" w:right="0"/>
        <w:jc w:val="both"/>
        <w:rPr/>
      </w:pPr>
      <w:r>
        <w:rPr>
          <w:rFonts w:cs="Times New Roman" w:ascii="Times New Roman" w:hAnsi="Times New Roman"/>
          <w:sz w:val="28"/>
          <w:szCs w:val="28"/>
          <w:lang w:val="uk-UA"/>
        </w:rPr>
        <w:t>Начальник ПРХС організовує радіаційне та хімічне спостереження, а саме: уточнює завдання черговому спостерігачу ПРХС, терміни проведення спостереження, порядок інформування керівника підприємства, чергового ДСНС та РАГ, організовує заходи безпеки.</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4.3. У разі реєстрації потужності експозиційної (еквівалентної) дози 0,05 мР/год (0,5 мкЗв/год) і вище, появи аномальних явищ (кольорової хмари або підозрілих крапель на ґрунті, рослинах, поверхнях будівель) черговий спостерігач ПРХС негайно інформує телефоном керівництво підприємства, оперативного чергового органу управління територіальної підсистеми ЄДС ЦЗ, чергового ДСНС та районного або місцевого РАГ, на території якого знаходиться ПРХС. Надалі спостереження на ПРХС здійснюється в порядку, визначеному в розділі 3 цього Положення для диспетчерської служби.</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5. Організація збирання та обробки інформації.</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5.1. З метою збирання, опрацювання та аналізу інформації про стан радіаційного та хімічного забруднення навколишнього середовища, що надходить від диспетчерських служб та ПРХС у режимах підвищеної готовності, надзвичайної ситуації та в особливий період, за рішеннями обласної державної адміністрації, районних державних адміністрацій, виконавчих органів міських рад в області, завчасно створюються РАГ та затверджуються положення про них відповідно до постанови Кабінету Міністри України від 09.10.2013 № 787 «Про затвердження Порядку утворення, завдання та функції формувань цивільного захисту». Зазначеними рішеннями визначаються місця для роботи РАГ, зокрема, в регіональних установах з питань цивільного захисту та/або надзвичайних ситуацій, у приміщеннях, призначених для роботи координаційних органів та штабів з ліквідації наслідків надзвичайної ситуації місцевого рівня.</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5.2. РАГ завчасно забезпечується відповідними методиками прогнозування радіаційної і хімічної обстановки, картою з нанесеною прогнозною радіаційною та хімічною обстановкою, робочою картою для нанесення фактичної обстановки, формами звітних документів.</w:t>
      </w:r>
    </w:p>
    <w:p>
      <w:pPr>
        <w:pStyle w:val="BodyText"/>
        <w:spacing w:lineRule="auto" w:line="240" w:before="0" w:after="0"/>
        <w:ind w:firstLine="567" w:right="0"/>
        <w:jc w:val="both"/>
        <w:rPr/>
      </w:pPr>
      <w:r>
        <w:rPr>
          <w:rFonts w:cs="Times New Roman" w:ascii="Times New Roman" w:hAnsi="Times New Roman"/>
          <w:sz w:val="28"/>
          <w:szCs w:val="28"/>
          <w:lang w:val="uk-UA"/>
        </w:rPr>
        <w:t>Для РАГ у районі, місті, яке є обласним центром, органи управління відповідних ланок територіальної підсистеми ЄДС ЦЗ складають переліки диспетчерських служб та ПРХС, які надають інформацію про радіаційну та хімічну обстановку до відповідної РАГ, з контактними телефонами.</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5.3. У разі переведення територіальної підсистеми ЄДС ЦЗ в режим підвищеної готовності працівники РАГ прибувають на визначене для роботи місце, уточнюють порядок отримання та передавання інформації про радіаційну та хімічну обстановку від диспетчерських служб та ПРХС, здійснюють прогнозування можливої радіаційної і хімічної обстановки.</w:t>
      </w:r>
    </w:p>
    <w:p>
      <w:pPr>
        <w:pStyle w:val="BodyText"/>
        <w:spacing w:lineRule="auto" w:line="240" w:before="0" w:after="0"/>
        <w:ind w:firstLine="567" w:right="0"/>
        <w:jc w:val="both"/>
        <w:rPr>
          <w:rFonts w:ascii="Times New Roman" w:hAnsi="Times New Roman" w:cs="Times New Roman"/>
          <w:sz w:val="28"/>
          <w:szCs w:val="28"/>
          <w:lang w:val="uk-UA"/>
        </w:rPr>
      </w:pPr>
      <w:r>
        <w:rPr>
          <w:rFonts w:cs="Times New Roman" w:ascii="Times New Roman" w:hAnsi="Times New Roman"/>
          <w:sz w:val="28"/>
          <w:szCs w:val="28"/>
          <w:lang w:val="uk-UA"/>
        </w:rPr>
        <w:t>5.4. У разі виникнення надзвичайної ситуації, пов’язаної з викидом радіоактивних та небезпечних хімічних речовин, РАГ у районі, місті, яке є обласним центром, збирають, узагальнюють, опрацьовують отриману інформацію та подають керівництву ланки територіальної підсистеми ЄДС ЦЗ та РАГ в області.</w:t>
      </w:r>
    </w:p>
    <w:p>
      <w:pPr>
        <w:pStyle w:val="BodyText"/>
        <w:spacing w:lineRule="auto" w:line="240" w:before="0" w:after="0"/>
        <w:ind w:firstLine="567" w:right="0"/>
        <w:jc w:val="both"/>
        <w:rPr>
          <w:b/>
          <w:lang w:val="uk-UA"/>
        </w:rPr>
      </w:pPr>
      <w:r>
        <w:rPr>
          <w:rFonts w:cs="Times New Roman" w:ascii="Times New Roman" w:hAnsi="Times New Roman"/>
          <w:sz w:val="28"/>
          <w:szCs w:val="28"/>
          <w:lang w:val="uk-UA"/>
        </w:rPr>
        <w:t>РАГ в області узагальнює зазначену інформацію та подає її департаменту з питань цивільного захисту, оборонної роботи та взаємодії з правоохоронними органами Івано-Франківської облдержадміністрації.</w:t>
      </w:r>
    </w:p>
    <w:p>
      <w:pPr>
        <w:pStyle w:val="Normal"/>
        <w:ind w:firstLine="567" w:right="0"/>
        <w:jc w:val="center"/>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both"/>
        <w:rPr>
          <w:rFonts w:ascii="Times New Roman" w:hAnsi="Times New Roman" w:cs="Times New Roman"/>
          <w:b/>
          <w:bCs/>
          <w:sz w:val="28"/>
          <w:szCs w:val="28"/>
          <w:lang w:val="uk-UA"/>
        </w:rPr>
      </w:pPr>
      <w:r>
        <w:rPr>
          <w:rFonts w:cs="Times New Roman" w:ascii="Times New Roman" w:hAnsi="Times New Roman"/>
          <w:b/>
          <w:bCs/>
          <w:sz w:val="28"/>
          <w:szCs w:val="28"/>
          <w:lang w:val="uk-UA"/>
        </w:rPr>
        <w:t>Директор департаменту з питань</w:t>
      </w:r>
    </w:p>
    <w:p>
      <w:pPr>
        <w:pStyle w:val="Normal"/>
        <w:jc w:val="both"/>
        <w:rPr>
          <w:rFonts w:ascii="Times New Roman" w:hAnsi="Times New Roman" w:cs="Times New Roman"/>
          <w:b/>
          <w:bCs/>
          <w:sz w:val="28"/>
          <w:szCs w:val="28"/>
          <w:lang w:val="uk-UA"/>
        </w:rPr>
      </w:pPr>
      <w:r>
        <w:rPr>
          <w:rFonts w:cs="Times New Roman" w:ascii="Times New Roman" w:hAnsi="Times New Roman"/>
          <w:b/>
          <w:bCs/>
          <w:sz w:val="28"/>
          <w:szCs w:val="28"/>
          <w:lang w:val="uk-UA"/>
        </w:rPr>
        <w:t>цивільного захисту, оборонної</w:t>
      </w:r>
    </w:p>
    <w:p>
      <w:pPr>
        <w:pStyle w:val="Normal"/>
        <w:jc w:val="both"/>
        <w:rPr>
          <w:rFonts w:ascii="Times New Roman" w:hAnsi="Times New Roman" w:cs="Times New Roman"/>
          <w:b/>
          <w:bCs/>
          <w:sz w:val="28"/>
          <w:szCs w:val="28"/>
          <w:lang w:val="uk-UA"/>
        </w:rPr>
      </w:pPr>
      <w:r>
        <w:rPr>
          <w:rFonts w:cs="Times New Roman" w:ascii="Times New Roman" w:hAnsi="Times New Roman"/>
          <w:b/>
          <w:bCs/>
          <w:sz w:val="28"/>
          <w:szCs w:val="28"/>
          <w:lang w:val="uk-UA"/>
        </w:rPr>
        <w:t xml:space="preserve">роботи та взаємодії з правоохоронними </w:t>
      </w:r>
    </w:p>
    <w:p>
      <w:pPr>
        <w:pStyle w:val="Normal"/>
        <w:jc w:val="both"/>
        <w:rPr>
          <w:rFonts w:ascii="Times New Roman" w:hAnsi="Times New Roman" w:cs="Times New Roman"/>
          <w:b/>
          <w:bCs/>
          <w:sz w:val="28"/>
          <w:szCs w:val="28"/>
          <w:lang w:val="uk-UA"/>
        </w:rPr>
      </w:pPr>
      <w:r>
        <w:rPr>
          <w:rFonts w:cs="Times New Roman" w:ascii="Times New Roman" w:hAnsi="Times New Roman"/>
          <w:b/>
          <w:bCs/>
          <w:sz w:val="28"/>
          <w:szCs w:val="28"/>
          <w:lang w:val="uk-UA"/>
        </w:rPr>
        <w:t>органами Івано-Франківської</w:t>
      </w:r>
    </w:p>
    <w:p>
      <w:pPr>
        <w:pStyle w:val="Normal"/>
        <w:jc w:val="both"/>
        <w:rPr/>
      </w:pPr>
      <w:r>
        <w:rPr>
          <w:rFonts w:cs="Times New Roman" w:ascii="Times New Roman" w:hAnsi="Times New Roman"/>
          <w:b/>
          <w:bCs/>
          <w:sz w:val="28"/>
          <w:szCs w:val="28"/>
          <w:lang w:val="uk-UA"/>
        </w:rPr>
        <w:t>облдержадміністрації</w:t>
        <w:tab/>
        <w:tab/>
        <w:tab/>
        <w:tab/>
        <w:tab/>
        <w:tab/>
        <w:t>Дмитро ШКРІБЛЯК</w:t>
      </w:r>
    </w:p>
    <w:sectPr>
      <w:headerReference w:type="default" r:id="rId2"/>
      <w:headerReference w:type="first" r:id="rId3"/>
      <w:type w:val="nextPage"/>
      <w:pgSz w:w="11906" w:h="16838"/>
      <w:pgMar w:left="1985" w:right="851" w:gutter="0" w:header="72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cc"/>
    <w:family w:val="roman"/>
    <w:pitch w:val="variable"/>
  </w:font>
  <w:font w:name="Times New Roman">
    <w:charset w:val="cc"/>
    <w:family w:val="roman"/>
    <w:pitch w:val="variable"/>
  </w:font>
  <w:font w:name="Segoe UI">
    <w:charset w:val="cc"/>
    <w:family w:val="swiss"/>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5</w:t>
    </w:r>
    <w:r>
      <w:rPr>
        <w:rFonts w:cs="Times New Roman"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9"/>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Cambria" w:hAnsi="Liberation Serif;Cambria" w:eastAsia="Noto Sans CJK SC Regular;MV Boli" w:cs="FreeSans;Times New Roman"/>
      <w:color w:val="auto"/>
      <w:kern w:val="2"/>
      <w:sz w:val="24"/>
      <w:szCs w:val="24"/>
      <w:lang w:val="en-US" w:eastAsia="zh-CN" w:bidi="hi-IN"/>
    </w:rPr>
  </w:style>
  <w:style w:type="paragraph" w:styleId="Heading1">
    <w:name w:val="heading 1"/>
    <w:basedOn w:val="Normal"/>
    <w:next w:val="BodyText"/>
    <w:qFormat/>
    <w:pPr>
      <w:numPr>
        <w:ilvl w:val="0"/>
        <w:numId w:val="1"/>
      </w:numPr>
      <w:ind w:hanging="0" w:left="301" w:right="0"/>
      <w:outlineLvl w:val="0"/>
    </w:pPr>
    <w:rPr>
      <w:rFonts w:ascii="Times New Roman" w:hAnsi="Times New Roman" w:eastAsia="Times New Roman" w:cs="Times New Roman"/>
      <w:b/>
      <w:bCs/>
      <w:sz w:val="28"/>
      <w:szCs w:val="28"/>
      <w:lang w:val="uk-UA" w:bidi="ar-SA"/>
    </w:rPr>
  </w:style>
  <w:style w:type="character" w:styleId="WW8Num2z0">
    <w:name w:val="WW8Num2z0"/>
    <w:qFormat/>
    <w:rPr>
      <w:rFonts w:ascii="Times New Roman" w:hAnsi="Times New Roman" w:eastAsia="Times New Roman" w:cs="Times New Roman"/>
      <w:w w:val="100"/>
      <w:sz w:val="28"/>
      <w:szCs w:val="28"/>
      <w:lang w:val="uk-UA" w:eastAsia="en-US" w:bidi="ar-SA"/>
    </w:rPr>
  </w:style>
  <w:style w:type="character" w:styleId="WW8Num2z1">
    <w:name w:val="WW8Num2z1"/>
    <w:qFormat/>
    <w:rPr>
      <w:rFonts w:ascii="Symbol" w:hAnsi="Symbol" w:cs="Symbol"/>
    </w:rPr>
  </w:style>
  <w:style w:type="character" w:styleId="WW8Num3z0">
    <w:name w:val="WW8Num3z0"/>
    <w:qFormat/>
    <w:rPr>
      <w:rFonts w:ascii="Times New Roman" w:hAnsi="Times New Roman" w:eastAsia="Times New Roman" w:cs="Times New Roman"/>
      <w:w w:val="100"/>
      <w:sz w:val="28"/>
      <w:szCs w:val="28"/>
      <w:lang w:val="uk-UA" w:eastAsia="en-US" w:bidi="ar-SA"/>
    </w:rPr>
  </w:style>
  <w:style w:type="character" w:styleId="WW8Num3z1">
    <w:name w:val="WW8Num3z1"/>
    <w:qFormat/>
    <w:rPr>
      <w:rFonts w:ascii="Symbol" w:hAnsi="Symbol" w:cs="Symbol"/>
    </w:rPr>
  </w:style>
  <w:style w:type="character" w:styleId="WW8Num4z0">
    <w:name w:val="WW8Num4z0"/>
    <w:qFormat/>
    <w:rPr>
      <w:rFonts w:ascii="Times New Roman" w:hAnsi="Times New Roman" w:eastAsia="Times New Roman" w:cs="Times New Roman"/>
      <w:w w:val="100"/>
      <w:sz w:val="28"/>
      <w:szCs w:val="28"/>
      <w:lang w:val="uk-UA" w:eastAsia="en-US" w:bidi="ar-SA"/>
    </w:rPr>
  </w:style>
  <w:style w:type="character" w:styleId="WW8Num4z1">
    <w:name w:val="WW8Num4z1"/>
    <w:qFormat/>
    <w:rPr>
      <w:rFonts w:ascii="Symbol" w:hAnsi="Symbol" w:cs="Symbol"/>
    </w:rPr>
  </w:style>
  <w:style w:type="character" w:styleId="WW8Num5z0">
    <w:name w:val="WW8Num5z0"/>
    <w:qFormat/>
    <w:rPr>
      <w:rFonts w:ascii="Times New Roman" w:hAnsi="Times New Roman" w:eastAsia="Times New Roman" w:cs="Times New Roman"/>
      <w:w w:val="100"/>
      <w:sz w:val="28"/>
      <w:szCs w:val="28"/>
      <w:lang w:val="uk-UA" w:eastAsia="en-US" w:bidi="ar-SA"/>
    </w:rPr>
  </w:style>
  <w:style w:type="character" w:styleId="WW8Num5z1">
    <w:name w:val="WW8Num5z1"/>
    <w:qFormat/>
    <w:rPr>
      <w:rFonts w:ascii="Symbol" w:hAnsi="Symbol" w:cs="Symbol"/>
    </w:rPr>
  </w:style>
  <w:style w:type="character" w:styleId="WW8Num6z0">
    <w:name w:val="WW8Num6z0"/>
    <w:qFormat/>
    <w:rPr>
      <w:rFonts w:ascii="Times New Roman" w:hAnsi="Times New Roman" w:eastAsia="Times New Roman" w:cs="Times New Roman"/>
      <w:w w:val="100"/>
      <w:sz w:val="28"/>
      <w:szCs w:val="28"/>
      <w:lang w:val="uk-UA" w:eastAsia="en-US" w:bidi="ar-SA"/>
    </w:rPr>
  </w:style>
  <w:style w:type="character" w:styleId="WW8Num6z1">
    <w:name w:val="WW8Num6z1"/>
    <w:qFormat/>
    <w:rPr>
      <w:rFonts w:ascii="Symbol" w:hAnsi="Symbol" w:cs="Symbol"/>
    </w:rPr>
  </w:style>
  <w:style w:type="character" w:styleId="WW8Num7z0">
    <w:name w:val="WW8Num7z0"/>
    <w:qFormat/>
    <w:rPr>
      <w:rFonts w:ascii="Times New Roman" w:hAnsi="Times New Roman" w:eastAsia="Times New Roman" w:cs="Times New Roman"/>
      <w:w w:val="100"/>
      <w:sz w:val="28"/>
      <w:szCs w:val="28"/>
      <w:lang w:val="uk-UA" w:eastAsia="en-US" w:bidi="ar-SA"/>
    </w:rPr>
  </w:style>
  <w:style w:type="character" w:styleId="WW8Num7z1">
    <w:name w:val="WW8Num7z1"/>
    <w:qFormat/>
    <w:rPr>
      <w:rFonts w:ascii="Symbol" w:hAnsi="Symbol" w:cs="Symbol"/>
    </w:rPr>
  </w:style>
  <w:style w:type="character" w:styleId="WW8Num8z0">
    <w:name w:val="WW8Num8z0"/>
    <w:qFormat/>
    <w:rPr>
      <w:rFonts w:ascii="Times New Roman" w:hAnsi="Times New Roman" w:eastAsia="Times New Roman" w:cs="Times New Roman"/>
      <w:spacing w:val="0"/>
      <w:w w:val="100"/>
      <w:sz w:val="28"/>
      <w:szCs w:val="28"/>
      <w:lang w:val="uk-UA" w:eastAsia="en-US" w:bidi="ar-SA"/>
    </w:rPr>
  </w:style>
  <w:style w:type="character" w:styleId="WW8Num8z1">
    <w:name w:val="WW8Num8z1"/>
    <w:qFormat/>
    <w:rPr>
      <w:rFonts w:ascii="Symbol" w:hAnsi="Symbol" w:cs="Symbol"/>
    </w:rPr>
  </w:style>
  <w:style w:type="character" w:styleId="WW8Num9z0">
    <w:name w:val="WW8Num9z0"/>
    <w:qFormat/>
    <w:rPr>
      <w:rFonts w:ascii="Times New Roman" w:hAnsi="Times New Roman" w:eastAsia="Times New Roman" w:cs="Times New Roman"/>
      <w:w w:val="100"/>
      <w:sz w:val="28"/>
      <w:szCs w:val="28"/>
      <w:lang w:val="uk-UA" w:eastAsia="en-US" w:bidi="ar-SA"/>
    </w:rPr>
  </w:style>
  <w:style w:type="character" w:styleId="WW8Num9z1">
    <w:name w:val="WW8Num9z1"/>
    <w:qFormat/>
    <w:rPr>
      <w:rFonts w:ascii="Symbol" w:hAnsi="Symbol" w:cs="Symbol"/>
    </w:rPr>
  </w:style>
  <w:style w:type="character" w:styleId="WW8Num10z0">
    <w:name w:val="WW8Num10z0"/>
    <w:qFormat/>
    <w:rPr>
      <w:rFonts w:ascii="Times New Roman" w:hAnsi="Times New Roman" w:eastAsia="Times New Roman" w:cs="Times New Roman"/>
      <w:w w:val="100"/>
      <w:sz w:val="28"/>
      <w:szCs w:val="28"/>
      <w:lang w:val="uk-UA" w:eastAsia="en-US" w:bidi="ar-SA"/>
    </w:rPr>
  </w:style>
  <w:style w:type="character" w:styleId="WW8Num10z1">
    <w:name w:val="WW8Num10z1"/>
    <w:qFormat/>
    <w:rPr>
      <w:rFonts w:ascii="Symbol" w:hAnsi="Symbol" w:cs="Symbol"/>
    </w:rPr>
  </w:style>
  <w:style w:type="character" w:styleId="WW8Num11z0">
    <w:name w:val="WW8Num11z0"/>
    <w:qFormat/>
    <w:rPr>
      <w:sz w:val="28"/>
    </w:rPr>
  </w:style>
  <w:style w:type="character" w:styleId="WW8Num12z0">
    <w:name w:val="WW8Num12z0"/>
    <w:qFormat/>
    <w:rPr>
      <w:sz w:val="28"/>
    </w:rPr>
  </w:style>
  <w:style w:type="character" w:styleId="WW8Num13z0">
    <w:name w:val="WW8Num13z0"/>
    <w:qFormat/>
    <w:rPr>
      <w:sz w:val="28"/>
    </w:rPr>
  </w:style>
  <w:style w:type="character" w:styleId="WW8Num14z0">
    <w:name w:val="WW8Num14z0"/>
    <w:qFormat/>
    <w:rPr>
      <w:sz w:val="28"/>
    </w:rPr>
  </w:style>
  <w:style w:type="character" w:styleId="WW8Num15z0">
    <w:name w:val="WW8Num15z0"/>
    <w:qFormat/>
    <w:rPr>
      <w:sz w:val="28"/>
    </w:rPr>
  </w:style>
  <w:style w:type="character" w:styleId="WW8Num16z0">
    <w:name w:val="WW8Num16z0"/>
    <w:qFormat/>
    <w:rPr>
      <w:sz w:val="28"/>
    </w:rPr>
  </w:style>
  <w:style w:type="character" w:styleId="WW8Num17z0">
    <w:name w:val="WW8Num17z0"/>
    <w:qFormat/>
    <w:rPr>
      <w:sz w:val="28"/>
    </w:rPr>
  </w:style>
  <w:style w:type="character" w:styleId="WW8Num18z0">
    <w:name w:val="WW8Num18z0"/>
    <w:qFormat/>
    <w:rPr/>
  </w:style>
  <w:style w:type="character" w:styleId="WW8Num19z0">
    <w:name w:val="WW8Num19z0"/>
    <w:qFormat/>
    <w:rPr>
      <w:sz w:val="28"/>
    </w:rPr>
  </w:style>
  <w:style w:type="character" w:styleId="WW8Num20z0">
    <w:name w:val="WW8Num20z0"/>
    <w:qFormat/>
    <w:rPr>
      <w:sz w:val="28"/>
    </w:rPr>
  </w:style>
  <w:style w:type="character" w:styleId="WW8Num21z0">
    <w:name w:val="WW8Num21z0"/>
    <w:qFormat/>
    <w:rPr>
      <w:sz w:val="28"/>
    </w:rPr>
  </w:style>
  <w:style w:type="character" w:styleId="WW8Num22z0">
    <w:name w:val="WW8Num22z0"/>
    <w:qFormat/>
    <w:rPr>
      <w:sz w:val="28"/>
    </w:rPr>
  </w:style>
  <w:style w:type="character" w:styleId="Style13">
    <w:name w:val="Шрифт абзацу за замовчуванням"/>
    <w:qFormat/>
    <w:rPr/>
  </w:style>
  <w:style w:type="character" w:styleId="Hyperlink">
    <w:name w:val="Hyperlink"/>
    <w:rPr>
      <w:color w:val="000080"/>
      <w:u w:val="single"/>
      <w:lang w:val="zxx" w:bidi="zxx"/>
    </w:rPr>
  </w:style>
  <w:style w:type="character" w:styleId="Style14">
    <w:name w:val="Текст у виносці Знак"/>
    <w:qFormat/>
    <w:rPr>
      <w:rFonts w:ascii="Segoe UI" w:hAnsi="Segoe UI" w:eastAsia="Noto Sans CJK SC Regular;MV Boli" w:cs="Mangal"/>
      <w:kern w:val="2"/>
      <w:sz w:val="18"/>
      <w:szCs w:val="16"/>
      <w:lang w:val="en-US" w:eastAsia="zh-CN" w:bidi="hi-IN"/>
    </w:rPr>
  </w:style>
  <w:style w:type="character" w:styleId="Style15">
    <w:name w:val="Нижній колонтитул Знак"/>
    <w:qFormat/>
    <w:rPr>
      <w:rFonts w:ascii="Liberation Serif;Cambria" w:hAnsi="Liberation Serif;Cambria" w:eastAsia="Noto Sans CJK SC Regular;MV Boli" w:cs="Mangal"/>
      <w:kern w:val="2"/>
      <w:sz w:val="24"/>
      <w:szCs w:val="21"/>
      <w:lang w:eastAsia="zh-CN" w:bidi="hi-IN"/>
    </w:rPr>
  </w:style>
  <w:style w:type="character" w:styleId="Style16">
    <w:name w:val="Верхній колонтитул Знак"/>
    <w:qFormat/>
    <w:rPr>
      <w:rFonts w:ascii="Liberation Serif;Cambria" w:hAnsi="Liberation Serif;Cambria" w:eastAsia="Noto Sans CJK SC Regular;MV Boli" w:cs="FreeSans;Times New Roman"/>
      <w:kern w:val="2"/>
      <w:sz w:val="24"/>
      <w:szCs w:val="24"/>
      <w:lang w:eastAsia="zh-CN" w:bidi="hi-IN"/>
    </w:rPr>
  </w:style>
  <w:style w:type="character" w:styleId="Style17">
    <w:name w:val="Основний текст Знак"/>
    <w:qFormat/>
    <w:rPr>
      <w:rFonts w:ascii="Liberation Serif;Cambria" w:hAnsi="Liberation Serif;Cambria" w:eastAsia="Noto Sans CJK SC Regular;MV Boli" w:cs="FreeSans;Times New Roman"/>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Calibri" w:hAnsi="Liberation Sans;Calibri" w:eastAsia="Noto Sans CJK SC Regular;MV Boli" w:cs="FreeSans;Times New Roman"/>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FreeSans;Times New Roman"/>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8">
    <w:name w:val="Назва об'єкта"/>
    <w:basedOn w:val="Normal"/>
    <w:qFormat/>
    <w:pPr>
      <w:suppressLineNumbers/>
      <w:spacing w:before="120" w:after="120"/>
    </w:pPr>
    <w:rPr>
      <w:rFonts w:cs="FreeSans;Times New Roman"/>
      <w:i/>
      <w:iCs/>
      <w:sz w:val="24"/>
      <w:szCs w:val="24"/>
    </w:rPr>
  </w:style>
  <w:style w:type="paragraph" w:styleId="Style19">
    <w:name w:val="Покажчик"/>
    <w:basedOn w:val="Normal"/>
    <w:qFormat/>
    <w:pPr>
      <w:suppressLineNumbers/>
    </w:pPr>
    <w:rPr>
      <w:rFonts w:cs="FreeSans;Times New Roman"/>
    </w:rPr>
  </w:style>
  <w:style w:type="paragraph" w:styleId="ListParagraph">
    <w:name w:val="List Paragraph"/>
    <w:basedOn w:val="Normal"/>
    <w:qFormat/>
    <w:pPr>
      <w:ind w:firstLine="567" w:left="1261" w:right="104"/>
      <w:jc w:val="both"/>
    </w:pPr>
    <w:rPr>
      <w:rFonts w:ascii="Times New Roman" w:hAnsi="Times New Roman" w:eastAsia="Times New Roman" w:cs="Times New Roman"/>
      <w:lang w:val="uk-UA" w:bidi="ar-SA"/>
    </w:rPr>
  </w:style>
  <w:style w:type="paragraph" w:styleId="Style20">
    <w:name w:val="Вміст рамки"/>
    <w:basedOn w:val="Normal"/>
    <w:qFormat/>
    <w:pPr/>
    <w:rPr/>
  </w:style>
  <w:style w:type="paragraph" w:styleId="Style21">
    <w:name w:val="Верхній і нижній колонтитули"/>
    <w:basedOn w:val="Normal"/>
    <w:qFormat/>
    <w:pPr>
      <w:suppressLineNumbers/>
      <w:tabs>
        <w:tab w:val="clear" w:pos="709"/>
        <w:tab w:val="center" w:pos="5386" w:leader="none"/>
        <w:tab w:val="right" w:pos="10772" w:leader="none"/>
      </w:tabs>
    </w:pPr>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Style21"/>
    <w:pPr>
      <w:suppressLineNumbers/>
    </w:pPr>
    <w:rPr/>
  </w:style>
  <w:style w:type="paragraph" w:styleId="Style22">
    <w:name w:val="Абзац списку"/>
    <w:basedOn w:val="Normal"/>
    <w:qFormat/>
    <w:pPr>
      <w:ind w:hanging="0" w:left="720" w:right="0"/>
    </w:pPr>
    <w:rPr>
      <w:rFonts w:cs="Mangal"/>
      <w:szCs w:val="21"/>
    </w:rPr>
  </w:style>
  <w:style w:type="paragraph" w:styleId="Style23">
    <w:name w:val="Текст у виносці"/>
    <w:basedOn w:val="Normal"/>
    <w:qFormat/>
    <w:pPr/>
    <w:rPr>
      <w:rFonts w:ascii="Segoe UI" w:hAnsi="Segoe UI" w:cs="Mangal"/>
      <w:sz w:val="18"/>
      <w:szCs w:val="16"/>
    </w:rPr>
  </w:style>
  <w:style w:type="paragraph" w:styleId="Footer">
    <w:name w:val="footer"/>
    <w:basedOn w:val="Normal"/>
    <w:pPr>
      <w:tabs>
        <w:tab w:val="clear" w:pos="709"/>
        <w:tab w:val="center" w:pos="4844" w:leader="none"/>
        <w:tab w:val="right" w:pos="9689" w:leader="none"/>
      </w:tabs>
    </w:pPr>
    <w:rPr>
      <w:rFonts w:cs="Mangal"/>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LibreOffice/25.2.4.3$Linux_X86_64 LibreOffice_project/33e196637044ead23f5c3226cde09b47731f7e27</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2025-08-04T10:55:00Z</dcterms:created>
  <dc:creator>Work</dc:creator>
  <dc:description/>
  <cp:keywords/>
  <dc:language>en-US</dc:language>
  <cp:lastModifiedBy>Яновська</cp:lastModifiedBy>
  <cp:lastPrinted>2025-08-15T13:34:00Z</cp:lastPrinted>
  <dcterms:modified xsi:type="dcterms:W3CDTF">2025-08-15T10:38:00Z</dcterms:modified>
  <cp:revision>7</cp:revision>
  <dc:subject/>
  <dc:title/>
</cp:coreProperties>
</file>