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EF2" w:rsidRPr="00BA208D" w:rsidRDefault="00BA208D">
      <w:pPr>
        <w:pStyle w:val="aa"/>
        <w:rPr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ЗАТВЕРДЖЕНО                                                                                                                                                                                  </w:t>
      </w:r>
    </w:p>
    <w:p w:rsidR="00301EF2" w:rsidRDefault="00BA208D">
      <w:pPr>
        <w:pStyle w:val="aa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розпорядження</w:t>
      </w:r>
    </w:p>
    <w:p w:rsidR="00301EF2" w:rsidRPr="00BA208D" w:rsidRDefault="00BA208D">
      <w:pPr>
        <w:pStyle w:val="aa"/>
        <w:rPr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Івано-Франківської</w:t>
      </w:r>
    </w:p>
    <w:p w:rsidR="00301EF2" w:rsidRDefault="00BA208D">
      <w:pPr>
        <w:pStyle w:val="aa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обласної військової</w:t>
      </w:r>
    </w:p>
    <w:p w:rsidR="00301EF2" w:rsidRPr="00BA208D" w:rsidRDefault="00BA208D">
      <w:pPr>
        <w:pStyle w:val="aa"/>
        <w:rPr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        </w:t>
      </w: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адміністрації</w:t>
      </w:r>
    </w:p>
    <w:p w:rsidR="00301EF2" w:rsidRDefault="00BA208D">
      <w:pPr>
        <w:pStyle w:val="aa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від 27.06.2025 № 258</w:t>
      </w:r>
    </w:p>
    <w:p w:rsidR="00301EF2" w:rsidRDefault="00301EF2">
      <w:pPr>
        <w:pStyle w:val="aa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01EF2" w:rsidRDefault="00BA208D">
      <w:pPr>
        <w:pStyle w:val="aa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ОПЕРАЦІЙНИЙ ПЛАН</w:t>
      </w:r>
    </w:p>
    <w:p w:rsidR="00301EF2" w:rsidRDefault="00BA208D">
      <w:pPr>
        <w:pStyle w:val="aa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заходів з реалізації  в Івано-Франківській області у 2025-2027 роках Стратегії реформування </w:t>
      </w:r>
    </w:p>
    <w:p w:rsidR="00301EF2" w:rsidRDefault="00BA208D">
      <w:pPr>
        <w:pStyle w:val="aa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психоневрологічних, інших інтер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натних закладів та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деінституціоналізації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догляду за повнолітніми </w:t>
      </w:r>
    </w:p>
    <w:p w:rsidR="00301EF2" w:rsidRDefault="00BA208D">
      <w:pPr>
        <w:pStyle w:val="aa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особами з інвалідністю та особами старшого віку до 2034 року</w:t>
      </w:r>
    </w:p>
    <w:tbl>
      <w:tblPr>
        <w:tblW w:w="15364" w:type="dxa"/>
        <w:tblInd w:w="-5" w:type="dxa"/>
        <w:tblLook w:val="0000" w:firstRow="0" w:lastRow="0" w:firstColumn="0" w:lastColumn="0" w:noHBand="0" w:noVBand="0"/>
      </w:tblPr>
      <w:tblGrid>
        <w:gridCol w:w="4219"/>
        <w:gridCol w:w="3544"/>
        <w:gridCol w:w="2977"/>
        <w:gridCol w:w="1842"/>
        <w:gridCol w:w="2782"/>
      </w:tblGrid>
      <w:tr w:rsidR="00301EF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Найменування завдання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Відповідальні за виконання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 виконання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Очікувані результати виконання (індикатори)</w:t>
            </w:r>
          </w:p>
        </w:tc>
      </w:tr>
      <w:tr w:rsidR="00301EF2">
        <w:tc>
          <w:tcPr>
            <w:tcW w:w="15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Стратегічна ціль 1. Створення законодавчих та інституційних передумов для реалізації права осіб з інвалідністю та осіб старшого віку на         </w:t>
            </w:r>
          </w:p>
          <w:p w:rsidR="00301EF2" w:rsidRDefault="00BA208D">
            <w:pPr>
              <w:pStyle w:val="aa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незалежне життя та їх інтеграція до територіальних громад </w:t>
            </w:r>
          </w:p>
        </w:tc>
      </w:tr>
      <w:tr w:rsidR="00301EF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Визначення та аналіз наявних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правових, економічних, житлових інфраструктурних проблем та бар’єрів, а також упередженого ставлення та дискримінації, що перешкоджають повній реалізації прав осіб з інвалідністю та осіб старшого віку на незалежне життя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аналізу 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житлового зак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онодавства з метою виявлення дискримінаційних норм щодо осіб старшого віку та осіб з інвалідністю, зокрема тих, які перебувають в інституційних закладах, та реалізації права на житло осіб зазначених категорій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соціальної політики Івано-Франківсь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кої облдержадміністрації, департамент розвитку громад та територій, дорожнього, житлово-комунального господарства, містобудування та архітектури Івано-Франківської облдержадміністрації, органи місцевого самоврядування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(за згодою), громадські об’єднання, благодійні організації (за згодою), соціальні партнери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2025 рік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результатами проведеного аналізу інформацію розміщено на офіційних сайтах і сторінках соціальних мереж</w:t>
            </w:r>
          </w:p>
        </w:tc>
      </w:tr>
      <w:tr w:rsidR="00301EF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інституційного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механізму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впровадження Стратегії реформування психоневрологічних, інших інтернатних закладів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деінституціоналізації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догляду за повнолітніми особами з інвалідністю та особами старшого віку до 2034 року (далі – Стратегія) із залученням осіб з інвалідністю та осі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 старшого віку, зокрема осіб, які проживають в інтернатних закладах, членів їх сімей, осіб, які надають підтримку та послуги з догляду, організацій, які представляють інтереси цільової групи Стратегії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розроблення та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затвердження регіонального плану тран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сформації психоневрологічних інтернатів, будинків-інтернатів для осіб з інвалідністю та осіб старшого віку, молодіжних відділень дитячих будинків-інтернатів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розроблення за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результатами проведеного аналізу передумов та причин, що перешкоджають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реалізації прав осіб з інвалідністю та осіб старшого віку, проектів актів щодо внесення змін до регіональної стратегії розвитку до 2027 року в частині врахування цілей, завдань та заходів Стратегії реформування психоневрологічних, інших інтернатних закладі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деінституціоналізації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догляду за повнолітніми особами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інвалідністю та особами старшого віку до 2034 року (далі – Стратегія)  на відповідний період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Департамент соціальної політики Івано-Франківської облдержадміністрації, громадські об’єднання, благод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ійні організації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(за згодою), надавачі соціальних послуг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(за згодою)  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Департамент соціальної політики Івано-Франківської облдержадміністрації, громадські об’єднання, благодійні організації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(за згодою), надавачі соціальних послуг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(за згодою)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2025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2026 роки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 рік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Затверджено регіональний план заходів трансформації психоневрологічних інтернатів, будинків-інтернатів для осіб з інвалідністю та осіб старшого віку, молодіжних відділень дитячих будинків-інтернатів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Розроблено проекти актів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щодо внесення змін до регіональної стратегії розвитку та розпочато їх громадське обговорення</w:t>
            </w:r>
          </w:p>
        </w:tc>
      </w:tr>
      <w:tr w:rsidR="00301EF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Розроблення та здійснення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комплексу заходів, зокрема з підготовки змін до законодавства, які спрямовані на розв’язання визначених проблем і усунення бар’єрів відповідно до міжнародних зобов’язань України та стандартів ЄС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практики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застосування законів України «Про основні 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асади соціального захисту ветеранів праці та інших громадян похилого віку в Україні», «Про психіатричну допомогу», «Про зайнятість населення», «Про житловий фонд соціального призначення», Цивільного кодексу України, Сімейного кодексу України, Житлового код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ексу України в частині забезпечення реалізації прав осіб з інвалідністю та осіб старшого віку</w:t>
            </w:r>
          </w:p>
          <w:p w:rsidR="00301EF2" w:rsidRDefault="00301EF2">
            <w:pPr>
              <w:pStyle w:val="aa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numPr>
                <w:ilvl w:val="0"/>
                <w:numId w:val="3"/>
              </w:num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розроблення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пропозицій щодо внесення змін до законів України «Про основні засади соціального захисту ветеранів праці та інших громадян похилого віку в Україні», «Про основи соціальної захищеності осіб з інвалідністю в Україні», «Про реабілітацію осіб з інвалідністю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Україні», «Про соціальні послуги», «Про соціальну роботу з сім’ями, дітьми та молоддю», «Про психіатричну допомогу» в частині усунення бар’єрів у реалізації прав осіб з інвалідністю та осіб старшого віку 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розроблення </w:t>
            </w:r>
          </w:p>
          <w:p w:rsidR="00301EF2" w:rsidRDefault="00BA208D">
            <w:pPr>
              <w:pStyle w:val="aa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пропозицій щодо внесення змін до зако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нодавства в частині реалізації права на житло особами з інвалідністю, зокрема особами з психічними та інтелектуальними порушеннями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Департамент соціальної політики Івано-Франківської облдержадміністрації, департамент охорони здоров’я Івано-Франківської обл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держадміністрації, департамент розвитку громад та територій, дорожнього, житлово-комунального господарства, містобудування та архітектури Івано-Франківської облдержадміністрації, департамент економічного розвитку, промисловості та інфраструктури Івано-Фран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ківської облдержадміністрації, Івано-Франківський обласний центр зайнятості, органи місцевого самоврядування (за згодою), громадські об’єднання, благодійні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організації (за згодою)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соціальної політики Івано-Франківської облдержадміністрації, де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партамент охорони здоров’я Івано-Франківської облдержадміністрації, органи місцевого самоврядування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згодою), громадські об’єднання, благодійні організації (за згодою)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соціальної політики Івано-Франківської облдержадміністрації,   деп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артамент розвитку громад та територій, дорожнього, житлово-комунального господарства, містобудування та архітектури Івано-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Франківської облдержадміністрації, органи місцевого самоврядування (за згодою), громадські об’єднання, благодійні організації (за згод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ою)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2025 рік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 рік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2027 рік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F2" w:rsidRDefault="00BA208D">
            <w:pPr>
              <w:pStyle w:val="aa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Проведено аналіз  щодо приведення законодавства у відповідність з міжнародними зобов’язаннями України та стандартами ЄС  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Підготовлено відповідний лист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надання пропозицій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Підготовлено відповідний лист про надання пропозицій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01EF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numPr>
                <w:ilvl w:val="0"/>
                <w:numId w:val="21"/>
              </w:num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Запровадження моделі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підтримки прийняття рішень особами з інвалідністю та особами старшого віку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numPr>
                <w:ilvl w:val="0"/>
                <w:numId w:val="4"/>
              </w:num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аналізу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діяльності органів опіки та піклування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щодо захисту прав осіб, які потребують опіки та піклування, їх опікунів і піклувальників, надання їм соціальної підтримки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запровадження систематичного навчання з питань надання соціальної підтримки, зокрема соціальних послуг, опікунів/пік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лувальників недієздатних осіб та осіб, цивільна дієздатність яких обмежена, а також осіб, які здійснюють догляд за особами з інвалідністю та особами старшого віку (надавачів соціальних послуг)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соціальної політики Івано-Франківської облдержадмі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ністрації, Головне управління Національної соціальної сервісної служби в Івано-Франківській області,  органи місцевого самоврядування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соціальної політики  Івано-Франківської облдержадміністрації, Головне управління Національної со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ціальної сервісної служби в Івано-Франківській області, органи місцевого самоврядування </w:t>
            </w:r>
          </w:p>
          <w:p w:rsidR="00301EF2" w:rsidRDefault="00BA208D">
            <w:pPr>
              <w:pStyle w:val="aa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(за згодою), громадські об’єднання, благодійні організації (за згодою)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 і 2027 роки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Інформацію щодо проведеного аналізу підготовлено та розміщено на офіційних сайтах і сторінках соціальних мереж 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Організовано проведення короткострокових курсів, семінарів, нарад з питань надання соціальної підтримки 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01EF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Забезпечення надання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послуг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підтримки особам з інвалідністю та особам старшого віку шляхом усунення бар’єрів у реалізації ними своїх прав на повноцінну, самостійну, рівну з усіма життєдіяльність у всіх сферах їх життя (перехід від медичної моделі до моделі прав людини)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в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територіальних громадах гендерного дослідження/аудиту доступності послуг, що враховують потреби та забезпечують проживання осіб старшого віку 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внесення пропозицій до 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проекту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внесення змін до законодавства в частині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забезпечення створення фонду соціального житла та вироблення надійних механізмів для розширення такого фонду за рахунок коштів державного та місцевих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бюджетів, а також інших не заборонених законодавством джерел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Департамент соціальної політики Івано-Франкі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вської облдержадміністрації, Головне управління Національної соціальної сервісної служби в Івано-Франківській області, департамент розвитку громад та територій, дорожнього, житлово-комунального господарства, містобудування та архітектури  Івано-Франківсько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ї облдержадміністрації, органи місцевого самоврядування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згодою), громадські об’єднання, благодійні організації (за згодою)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розвитку громад та територій, дорожнього, житлово-комунального господарства, містобудування та архітектури Івано-Фр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анківської облдержадміністрації,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департамент соціальної політики Івано-Франківської облдержадміністрації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2025 рік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 і 2026 роки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Підготовлено та розміщено на офіційних сайтах і сторінках соціальних мереж  рекомендації щодо покращення доступності послуг в громадах з урахуванням потреб жінок та чоловіків 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Подано на розгляд Міністерства інфраструктури  України відповідний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лист з пропозиціями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01EF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Зміна наявної системи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надання послуг для осіб з інвалідністю та осіб старшого віку для забезпечення реалізації їх права на незалежне життя шляхом фінансування фактичного надання послуг конкретній особі (а не інституції)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зокрема із застосуванням принципу «гроші ходять за людиною»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аналізу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ефективності фінансування інтернатних закладів, що фінансуються з обласних бюджетів, з метою напрацювання рекомендацій щодо  ефективного та раціонального використання видатків на їх утримання  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аналізу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законодавства щодо перерахування органами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місцевого самоврядування коштів за надання соціальних послуг особам, які проживають на території територіальної громади, підготовка пропозицій з його удосконалення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соціальної політики Івано-Франківської облдержадміністрації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оціальної політики Івано-Франківської облдержадміністрації, органи місцевого самоврядування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 і 2026 роки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Розроблено  пропозиції щодо оптимізації видатків 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Розроблено пропозиції щодо удосконалення законодавства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стосовно перерахування органами місцевого самоврядування коштів за надання соціальних послуг особам, які проживають на території територіальної громади</w:t>
            </w:r>
          </w:p>
        </w:tc>
      </w:tr>
      <w:tr w:rsidR="00301EF2">
        <w:tc>
          <w:tcPr>
            <w:tcW w:w="15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F2" w:rsidRDefault="00BA208D">
            <w:pPr>
              <w:pStyle w:val="aa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Стратегічна ціль 2. Сприяння комплексній реформі довготривалого догляду за особами з інвалідністю та ос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обами старшого віку шляхом    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        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розвитку спроможності людей здобувати, відновлювати або підтримувати навички повсякденного життя</w:t>
            </w:r>
          </w:p>
        </w:tc>
      </w:tr>
      <w:tr w:rsidR="00301EF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Оцінка потреби осіб з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інвалідністю та осіб старшого віку щодо соціальних, реабілітаційних та інших послуг, яких вони потребують для самостійного проживання, а також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наявність і поширеність таких послуг у територіальних громадах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проведення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всебічного оцінювання потреб осіб з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нвалідністю та осіб старшого віку, які проживають в територіальних громадах,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метою визначення рівня їх функціональної спроможності та потенціалу для реабілітації і незалежного життя, поточної та очікуваної потреби таких осіб у підтримці в територіальній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громаді та переваг особистого догляду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Департамент соціальної політики Івано-Франківської облдержадміністрації, департамент охорони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здоров’я Івано-Франківської облдержадміністрації, органи місцевого самоврядування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2025 - 2027 роки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Проведено оц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інювання потреб, складено індивідуальні плани</w:t>
            </w:r>
          </w:p>
        </w:tc>
      </w:tr>
      <w:tr w:rsidR="00301EF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сприяння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розвитку ринку надавачів соціальних, реабілітаційних послуг для осіб з інвалідністю та осіб старшого віку із заохоченням участі громадських об’єднань, благодійних організацій та приватного се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ктору шляхом установлення прозорих законодавчих вимог та забезпечення стабільних джерел фінансування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аналізу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практики застосування процедури соціального замовлення соціальних послуг і підготовка відповідних змін до законодавства з метою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усунення бар’єрів у залученні до надання соціальних послуг надавачів соціальних послуг недержавного сектору</w:t>
            </w:r>
          </w:p>
          <w:p w:rsidR="00301EF2" w:rsidRDefault="00301EF2">
            <w:pPr>
              <w:pStyle w:val="aa"/>
              <w:ind w:left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ind w:left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ind w:left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ind w:left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numPr>
                <w:ilvl w:val="0"/>
                <w:numId w:val="7"/>
              </w:num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аналізу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положень законодавства з питань державних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закупівлі соціальних, реабілітаційних послуг, підготовка пропозиці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й щодо його удосконалення з метою усунення бар’єрів у залученні до надання соціальних послуг надавачів соціальних послуг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недержавного сектору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Департамент соціальної політики  Івано-Франківської облдержадміністрації, Головне управління Національної соціальн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ої сервісної служби в Івано-Франківській області, органи місцевого самоврядування </w:t>
            </w:r>
          </w:p>
          <w:p w:rsidR="00301EF2" w:rsidRDefault="00BA208D">
            <w:pPr>
              <w:pStyle w:val="aa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(за згодою), громадські об’єднання, благодійні організації (за згодою)  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соціальної політики Івано-Франківської облдержадміністрації, Головне управління Націона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льної соціальної сервісної служби в Івано-Франківській області, Івано-Франківське обласне відділення фонду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соціального захисту осіб з інвалідністю (за згодою), органи місцевого самоврядування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згодою), громадські об’єднання, благодійні організації (за 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годою)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2025 і 2026 роки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Розроблено пропозиції щодо практики застосування процедури соціального замовлення  соціальних послуг 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Розроблено пропозиції щодо  закупівлі соціальних та реабілітаційних послуг</w:t>
            </w:r>
          </w:p>
        </w:tc>
      </w:tr>
      <w:tr w:rsidR="00301EF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умов для </w:t>
            </w:r>
          </w:p>
          <w:p w:rsidR="00301EF2" w:rsidRPr="00BA208D" w:rsidRDefault="00BA208D">
            <w:pPr>
              <w:pStyle w:val="aa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розвитку соціальних послуг для осіб з інвалідністю та осіб старшого віку в територіальній громаді, зокрема персонального асистента, підтриманого проживання, транзитних (учбових) квартир, соціального супроводу при працевлаштуванні та на робочому місці, ден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ного догляду, транспортування (соціального таксі) тощо, що дасть змогу вибирати надавачів соціальних послуг відповідно до своїх потреб і бажань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запровадження навчання посадових осіб органів місцевого самоврядування з питань стратегічного плану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вання розвитку системи надання соціальних послуг, залучення коштів для розвитку системи надання соціальних послуг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Департамент соціальної політики Івано-Франківської облдержадміністрації, департамент освіти та науки Івано-Франківської облдержадміністрації, </w:t>
            </w:r>
          </w:p>
          <w:p w:rsidR="00301EF2" w:rsidRDefault="00BA208D">
            <w:pPr>
              <w:pStyle w:val="aa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органи місцевого самоврядування (за згодою), громадські об’єднання, благодійні організації (за згодою) 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2025-2027 роки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Організовано проведення навчання посадових осіб органів місцевого самоврядування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01EF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доступу осіб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інвалідністю та осіб старшого віку до соціальних послуг довготривалого догляду у територіальній громаді відповідно до міжнародних стандартів і вимог, заохочуючи до їх надання громадські об’єднання, благодійні організації та приватний сектор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вивчення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жнародного досвіду та вітчизняних практик щодо способу організації, умов, форм та методів надання соціальної послуги довготривалого догляду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Державних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будівельних норм ДБН В.2.2-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18:2007 «Заклади соціального захисту населення» з метою приведення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їх у відповідність з міжнародними стандартами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вивчення питання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оплати комунальних послуг отримувачами соціальних послуг підтриманого проживання з метою забезпечення доступності зазначеної послуги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Департамент соціальної політики Івано-Франківської облдержадміністрації, органи місцевого самоврядування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згодою), громадські об’єднання, благодійні організації (за згодою)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Департамент розвитку громад та територій,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дорожнього, житлово-комунального гос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подарства, містобудування та архітектури Івано-Франківської облдержадміністрації, департамент соціальної політики Івано-Франківської облдержадміністрації, органи місцевого самоврядування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згодою), громадські об’єднання, благодійні організації (за згодо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ю)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соціальної політики Івано-Франківської облдержадміністрації, департамент розвитку громад та територій, дорожнього, житлово-комунального господарства, містобудування та архітектури Івано-Франківської облдержадміністрації, органи місцевого са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моврядування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(за згодою), громадські об’єднання, благодійні організації (за згодою)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2025 рік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 рік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 і 2026 роки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Розроблено пропозиції щодо способу організації, умов, форм та методів надання соціальної послуги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довготривалого догляду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перегляд Державних будівельних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норм ДБН В.2.2-18:2007 «Заклади соціального захисту населення» з метою приведення їх у відповідність з міжнародними стандартами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доступність оплати комунальних послуг отримувачами соціальних послуг підтриманого проживання  </w:t>
            </w:r>
          </w:p>
        </w:tc>
      </w:tr>
      <w:tr w:rsidR="00301EF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Впровадження оновлення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системи оцінювання відповідності наданих соціальних послуг міжнародним стандартам і вимогам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розроблення </w:t>
            </w:r>
          </w:p>
          <w:p w:rsidR="00301EF2" w:rsidRDefault="00BA208D">
            <w:pPr>
              <w:pStyle w:val="aa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методології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здійснення державного нагляду (контролю) за дотриманням надавачами соціальних послуг вимог законодавства під час надання соціальних послуг, зокрема послуги довготривалого догляду</w:t>
            </w: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2) розроблення  методології оцінювання якості надання соціальних послуг,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тому числі запровадження зворотного зв’язку (відгуки, коментарі, побажання) отримувачів соціальних послуг, зокрема послуг довготривалого догляду та підтриманого проживання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Департамент соціальної політики Івано-Франківської облдержадміністрації, Головне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Національної соціальної сервісної служби в Івано-Франківській області, органи місцевого самоврядування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згодою), громадські об’єднання, благодійні організації (за згодою)</w:t>
            </w: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соціальної політики Івано-Франківської облдержадміністрац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ії, Головне управління Національної соціальної сервісної служби в Івано-Франківській області, органи місцевого самоврядування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(за згодою), громадські об’єднання, благодійні організації (за згодою)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 рік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Розроблено пропозиції щодо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нагляду (контролю) за дотриманням надавачами соціальних послуг вимог законодавства</w:t>
            </w: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Розроблено пропозиції щодо оцінювання якості надання соціальних послуг</w:t>
            </w: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                         </w:t>
            </w:r>
          </w:p>
        </w:tc>
      </w:tr>
      <w:tr w:rsidR="00301EF2" w:rsidRPr="00BA208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доступу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сімей, до складу яких входять особи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інвалідністю та особи старшого віку, до інформації про доступні варіанти догляду та підтримки для усвідомленого прийняття рішень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розвиток служб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підтримки для сімей, до складу яких входять особи з інвалідністю та особи старшого віку, та підтримки їх нео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фіційних опікунів</w:t>
            </w:r>
          </w:p>
          <w:p w:rsidR="00301EF2" w:rsidRDefault="00301EF2">
            <w:pPr>
              <w:pStyle w:val="aa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покращення </w:t>
            </w:r>
          </w:p>
          <w:p w:rsidR="00301EF2" w:rsidRPr="00BA208D" w:rsidRDefault="00BA208D">
            <w:pPr>
              <w:pStyle w:val="aa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механізму доступу до інформації та спрощення її пошуку та управління системою із запровадженням функцій координації догляду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Департамент соціальної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політики Івано-Франківської облдержадміністрації, органи місцевого самовр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ядування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згодою), громадські об’єднання, благодійні організації (за згодою)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Департамент соціальної політики Івано-Франківської облдержадміністрації, органи місцевого самоврядування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(за згодою), громадські об’єднання, благодійні організації (за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згодою)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2025-2027 роки</w:t>
            </w: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 рік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Проведено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інформаційну кампанію про доступні варіанти догляду та підтримки їх неофіційних опікунів</w:t>
            </w: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Проведено інформаційну кампанію щодо покращення механізму доступу до інформації та спрощення її пошуку та управ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ління системою із запровадженням функцій координації догляду</w:t>
            </w:r>
          </w:p>
        </w:tc>
      </w:tr>
      <w:tr w:rsidR="00301EF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Проведення комплексного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аудиту інтернатних закладів, розроблення інструментів та планів трансформування  інтернатних закладів, враховуючи потреби їх персоналу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картування всіх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існуючих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інтернатних закладів для осіб з інвалідністю та осіб старшого віку в Івано-Франківській області, розроблення плану переходу на рівні територіальних громад (з урахуванням покрокових інструкцій, строків, необхідних ресурсів та відповідальних органів)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ення аудиту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матеріально-технічної бази діючих інтернатних закладів для осіб з інвалідністю та осіб старшого віку, що належать до системи соціального захисту населення</w:t>
            </w:r>
          </w:p>
          <w:p w:rsidR="00301EF2" w:rsidRDefault="00301EF2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</w:t>
            </w:r>
          </w:p>
          <w:p w:rsidR="00301EF2" w:rsidRDefault="00BA208D">
            <w:pPr>
              <w:pStyle w:val="aa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методичних рекомендацій щодо трансформації інтернатних закладів та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запровадження нових форм надання соціальних послуг з догляду, зокрема довготривалого догляду, з урахуванням міжнародного досвіду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Департамент соціальної політики Івано-Франківської облдержадміністрації, Головне управління Національної соціальної  сервісної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служби в Івано-Франківській області</w:t>
            </w: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Pr="00BA208D" w:rsidRDefault="00BA208D">
            <w:pPr>
              <w:pStyle w:val="aa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Департамент соціальної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політики Івано-Франківської облдержадміністрації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Pr="00BA208D" w:rsidRDefault="00BA208D">
            <w:pPr>
              <w:pStyle w:val="aa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соціальної політики Івано-Франківської облдержадміністрації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2025-2027 роки</w:t>
            </w: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2025 і 2026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роки</w:t>
            </w: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 рік</w:t>
            </w: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Розроблено карту, підготовлено плани переходу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Проведено аудит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матеріально-технічної бази діючих інтернатних закладів для осіб з інвалідністю та осіб старшого віку, що належать до системи соціального захисту населення </w:t>
            </w: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Розроблено рекомендації щодо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трансформації інтернатних закладів та запровадження нових форм надання соціальних послуг з догляду, зокрема довготривалого догляду, з урахуванням міжнародного досвіду</w:t>
            </w:r>
          </w:p>
        </w:tc>
      </w:tr>
      <w:tr w:rsidR="00301EF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оцінювання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потреб і можливостей осіб старшого віку та осіб з інвалідністю,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які проживають в інтернатних закладах, формування їх індивідуальних планів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всебічної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оцінки потреб осіб з інвалідністю та осіб старшого віку, які проживають в інтернатних закладах, з метою визначення рівня функціональної спроможності, потенціа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лу для реабілітації та незалежного життя, поточну та очікувану потребу в підтримці в територіальній громаді та переваги особистого догляду</w:t>
            </w:r>
          </w:p>
          <w:p w:rsidR="00301EF2" w:rsidRDefault="00301EF2">
            <w:pPr>
              <w:pStyle w:val="aa"/>
              <w:ind w:left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складення за участю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осіб з інвалідністю та осіб старшого віку, які проживають в інтернатних закладах, індивідуальни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 планів переходу від їх проживання в інституціях до проживання в територіальній громаді з урахуванням їх потреб, можливостей, бажань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Департамент соціальної політики Івано-Франківської облдержадміністрації, департамент охорони здоров’я Івано-Франківської облдержадміністрації, органи місцевого самоврядування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Департамент соціальної політики Івано-Франківської облдержадміністрації,  органи місцевого самоврядування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згодою), громадські об’єднання, благодійні організації (за згодою)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2025-2027 роки</w:t>
            </w: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 і 2027 роки</w:t>
            </w: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Проведено оцінку потреб, складено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індивідуальні плани</w:t>
            </w: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Складено індивідуальні плани переходу від їх проживання в інституціях до проживання в територіальній громаді з урахуванням їх потреб, можливостей, бажань </w:t>
            </w:r>
          </w:p>
        </w:tc>
      </w:tr>
      <w:tr w:rsidR="00301EF2" w:rsidRPr="00BA208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Розроблення механізмів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невідкладної підтримки осіб з інвалідністю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 осіб старшого віку, які бажають залишити інтернатні заклади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доступності осіб з інвалідністю та осіб старшого віку, які  проживають в інтернатних закладах, до мереж підтримки та захисту прав людини (телефонні «гарячі» лінії), безоплатної пр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авничої допомоги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Головне управління національної соціальної сервісної служби в Івано-Франківській області, департамент соціальної політики Івано-Франківської облдержадміністрації, органи місцевого самоврядування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(за згодою), надавачі соціальних послуг,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центри з надання безоплатної правничої допомоги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 і 2026 роки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100 відсотків осіб – отримувачів соціальних послуг в інтернатних закладах забезпечено доступом до засобів зв’язку, які наявні в інтернатних закладах та обізнані щодо наявності мереж підтримки, надання безоплатної правничої допомоги та захисту прав людини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301EF2">
        <w:tc>
          <w:tcPr>
            <w:tcW w:w="15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F2" w:rsidRDefault="00BA208D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Стратегічна ціль 3. Трансформація моделі допомоги і підтримки осіб з інвалідністю та осіб старшого віку на</w:t>
            </w:r>
          </w:p>
          <w:p w:rsidR="00301EF2" w:rsidRDefault="00BA208D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рівні територіальної громади, що сприятиме їх незалежному проживанню відповідно до їх потреб і можливостей</w:t>
            </w:r>
          </w:p>
        </w:tc>
      </w:tr>
      <w:tr w:rsidR="00301EF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Розроблення та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впровадження програм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які сприяють активній участі осіб з інвалідністю в соціальному житті, включаючи доступ до освіти і працевлаштування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(зокрема розумне пристосування та реабілітація для доступу до відкритого ринку праці)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забезпечення розвитку у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межах передбачених видатків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інклюзивних профорієнтаційних програм формування «м’яких» навичок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для осіб з інвалідністю, які отримують соціальні послуги з догляду, зокрема послуги підтриманого проживання, довготривалого догляду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Департамент соціальної політики Івано-Франківської облдер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жадміністрації, департамент економічного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розвитку, промисловості та інфраструктури Івано-Франківської облдержадміністрації, Івано-Франківський обласний центр зайнятості, органи місцевого самоврядування (за згодою), громадські об’єднання, благодійні організ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ації (за згодою)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2026 і 2027 роки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проведення інклюзивних профорієнтаційних програм та програм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формування «м’яких» навичок для осіб з інвалідністю </w:t>
            </w:r>
          </w:p>
        </w:tc>
      </w:tr>
      <w:tr w:rsidR="00301EF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Популяризація практики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інклюзивності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найму, встановлення партнерства з бізнесом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громадськими об’єднаннями, благодійними організаціями для створення робочих місць, адаптованих до потреб осіб з інвалідністю та осіб старшого віку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розміщення на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офіційних веб-сайтах, в соціальних мережах, висвітлення через медіа тощо інформації про усп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ішну інклюзивну практику найму осіб з інвалідністю та осіб старшого віку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економічного розвитку, промисловості та інфраструктури Івано-Франківської облдержадміністрації, Івано-Франківський обласний центр зайнятості, департамент соціальної політики Івано-Франківської облдержадміністрації, органи місцевого самоврядуван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ня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згодою), соціальні партнери (за згодою)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2025-2027 роки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Інформацію про кращі інклюзивні практики найму розміщено на офіційних сайтах та сторінках соціальних мереж </w:t>
            </w:r>
          </w:p>
        </w:tc>
      </w:tr>
      <w:tr w:rsidR="00301EF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розвитку </w:t>
            </w:r>
          </w:p>
          <w:p w:rsidR="00301EF2" w:rsidRPr="00BA208D" w:rsidRDefault="00BA208D">
            <w:pPr>
              <w:pStyle w:val="aa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соціальних підприємств, які надають послуги, що відповідають потребам осіб з інвалідністю та осіб старшого віку та/або забезпечують їх зайнятість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вивчення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міжнародного досвіду та вітчизняних практик діяльності соціальних підприємств, які надають послуги,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відповідають потребам осіб з інвалідністю та осіб старшого віку та/або забезпечують їх зайнятість, та підготовка пропозицій щодо їх розвитку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Департамент соціальної політики Івано-Франківської облдержадміністрації, органи місцевого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самоврядування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годою), соціальні партнери (за згодою), громадські об’єднання, благодійні організації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2025 рік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Підготовлено аналітичну довідку та інформацію розміщено на офіційному сайті і сторінках соціальних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мереж  </w:t>
            </w:r>
          </w:p>
        </w:tc>
      </w:tr>
      <w:tr w:rsidR="00301EF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Забезпечення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доступу до необхідних освітніх, культурних, соціальних і правничих послуг, а також до медичної, соціальної та психологічної допомоги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методичних рекомендацій щодо запровадження взаємодії соціальних та медичних працівн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иків під час здійснення догляду за особами з інвалідністю та особами старшого віку вдома в територіальній громаді відповідно до стандартів ЄС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організації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навчання для працівників надавачів соціальних послуг, закладів охор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они здоров’я 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територіальних громадах щодо їх взаємодії під час здійснення догляду за особами з інвалідністю та особами старшого віку вдома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організації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навчання працівників надавачів соціальних послуг з питань психічного зд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оров’я, зокрема надання психологічної та психосоціальної підтримки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Pr="00BA208D" w:rsidRDefault="00BA208D">
            <w:pPr>
              <w:pStyle w:val="aa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Департамент освіти і науки Івано-Франківської облдержадміністрації, управління культури, національностей і релігій Івано-Франківської облдержадміністрації,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департамент соціальної політики Івано-Франківської облдержадміністрації, департамент охорони здоров’я Івано-Франківської облдержадміністрації, органи місцевого самоврядування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згодою), громадські об’єднання, благодійні організації (за згодою)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Департам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ент соціальної політики Івано-Франківської облдержадміністрації, департамент охорони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здоров’я Івано-Франківської облдержадміністрації, Івано-Франківський обласний центр соціальних служб, органи місцевого самоврядування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(за згодою), громадські об’єднання,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благодійні організації (за згодою)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соціальної політики Івано-Франківської облдержадміністрації, департамент охорони здоров’я Івано-Франківської облдержадміністрації, Івано-Франківський обласний центр соціальних служб, органи місцевого самовря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дування </w:t>
            </w:r>
          </w:p>
          <w:p w:rsidR="00301EF2" w:rsidRDefault="00BA208D">
            <w:pPr>
              <w:pStyle w:val="aa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згодою), громадські об’єднання, благодійні організації (за згодою)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2026 рік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 і 2027 роки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2025-2027 роки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Розроблено методичні рекомендації щодо запровадження взаємодії соціальних та медичних працівників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 час здійснення догляду за особами з інвалідністю та особами старшого віку вдома в територіальній громаді відповідно до стандартів ЄС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Працівники надавачів соціальних послуг пройшли навчання 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Працівники надавачів соціальних послуг пройшли навчання   </w:t>
            </w:r>
          </w:p>
        </w:tc>
      </w:tr>
      <w:tr w:rsidR="00301EF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сприяння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ініціативам органів місцевого самоврядування та громадських об’єднань, благодійних організацій, які заохочують соціальну активність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залученість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осіб з інвалідністю та осіб старшого віку до незалежного життя, та інтеграція до територіальної громади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спри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яння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громадським об’єднанням та благодійним організаціям у залученні осіб з інвалідністю та осіб старшого віку 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провадженні волонтерської діяльності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</w:t>
            </w:r>
          </w:p>
          <w:p w:rsidR="00301EF2" w:rsidRDefault="00BA208D">
            <w:pPr>
              <w:pStyle w:val="aa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просвітницьких заходів з питань активного та здорового довголіття, зокрема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основ волонтерської діяльності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залучення осіб з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інвалідністю та осіб старшого віку, які провадять волонтерську діяльність, до надання соціальних послуг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популяризація і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поширення інформації стосовно волонтерської діяльності та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її кращих практик, зокрема щодо створення волонтерських осередків осіб з інвалідністю та осіб старшого віку, щодо організації навчання таких осіб основам волонтерської діяльності, залучення надавачами соціальних послуг волонтерів до своєї діяльності з нада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ння соціальних послуг у встановленому законодавством порядку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Головне управління Національної соціальної сервісної служби в Івано-Франківській області, департамент соціальної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політики Івано-Франківської облдержадміністрації, органи місцевого самоврядування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згодою), громадські об’єднання, благодійні організації (за згодою)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Головне управління Національної соціальної  сервісної служби в Івано-Франківській області, департамент охорони здоров’я Івано-Франківської облдержадміністрації, управління культури, 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аціональностей та релігій Івано-Франківської  облдержадміністрації,  департамент соціальної політики Івано-Франківської облдержадміністрації, органи місцевого самоврядування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згодою), громадські об’єднання, благодійні організації (за згодою)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Департаме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нт соціальної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політики Івано-Франківської облдержадміністрації, органи місцевого самоврядування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згодою), громадські об’єднання, благодійні організації (за згодою)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Головне управління Національної соціальної  сервісної служби в Івано-Франківській облас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ті, департамент соціальної політики Івано-Франківської облдержадміністрації, органи місцевого самоврядування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згодою), громадські об’єднання, благодійні організації (за згодою)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2025-2027 роки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2025-2027 роки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2026 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2027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роки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2025-2027 роки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 громадах області  діють волонтерські осередки осіб з інвалідністю та осіб старшого віку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Проведено навчання, зокрема, з питань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волонтерства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осіб з інвалідністю та осіб старшого віку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Pr="00BA208D" w:rsidRDefault="00BA208D">
            <w:pPr>
              <w:pStyle w:val="aa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Надавачі соціальних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послуг залучають волонтерів – осіб з інвалідністю та осіб старшого віку  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Оприлюднено інформацію на офіційному сайті та сторінках соціальних мереж                           </w:t>
            </w:r>
          </w:p>
        </w:tc>
      </w:tr>
      <w:tr w:rsidR="00301EF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та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підтримка участі осіб з інвалідністю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осіб старшого віку і відповідних громадських об’єднань, благодійних організацій у формуванні політики та прийнятті рішень щодо реалізації їх прав, а також у моніторингу виконання таких рішень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державному та місцевому рівні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аналіз та поширення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успішно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ї практики залучення осіб з інвалідністю та осіб старшого віку до планування діяльності органів місцевого самоврядування та прийняття рішень із запровадження послуг для зазначених категорій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громадян у територіальних громадах</w:t>
            </w: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запровадження при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органах місцевого самоврядування діяльності громадських рад осіб з інвалідністю та осіб старшого віку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Головне управління Національної соціальної  сервісної служби в Івано-Франківській області, департамент соціальної політики Івано-Франківської облдержадмін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істрації,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органи місцевого самоврядування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згодою), громадські об’єднання, благодійні організації (за згодою)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Департамент соціальної політики Івано-Франківської облдержадміністрації, органи місцевого самоврядування </w:t>
            </w: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згодою), громадські об’єднан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ня, благодійні організації (за згодою)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2025-2027 роки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 і 2027 роки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F2" w:rsidRDefault="00BA208D">
            <w:pPr>
              <w:pStyle w:val="aa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Розміщено на офіційному сайті інформацію про успішну практику залучення осіб з інвалідністю та осіб старшого віку до планування діяльності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органів місцевого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самоврядування та прийняття рішень із запровадження послуг для зазначених категорій громадян у територіальних громадах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BA208D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територіальних громадах області діють громадські ради осіб з інвалідністю та осіб старшого віку</w:t>
            </w: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EF2" w:rsidRDefault="00301EF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01EF2" w:rsidRDefault="00BA208D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lastRenderedPageBreak/>
        <w:t xml:space="preserve"> </w:t>
      </w:r>
    </w:p>
    <w:p w:rsidR="00301EF2" w:rsidRDefault="00301EF2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301EF2" w:rsidRDefault="00BA208D">
      <w:pPr>
        <w:pStyle w:val="aa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Директор департаменту соціальної політики </w:t>
      </w:r>
    </w:p>
    <w:p w:rsidR="00301EF2" w:rsidRDefault="00BA208D">
      <w:pPr>
        <w:pStyle w:val="aa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Івано-Франківської облдержадміністрації                                                                                    Володимир ЛЕМЧАК  </w:t>
      </w:r>
    </w:p>
    <w:p w:rsidR="00301EF2" w:rsidRDefault="00301EF2">
      <w:pPr>
        <w:pStyle w:val="aa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p w:rsidR="00301EF2" w:rsidRDefault="00301EF2">
      <w:pPr>
        <w:pStyle w:val="aa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301EF2">
      <w:pgSz w:w="16838" w:h="11906" w:orient="landscape"/>
      <w:pgMar w:top="1985" w:right="850" w:bottom="850" w:left="85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CB1"/>
    <w:multiLevelType w:val="multilevel"/>
    <w:tmpl w:val="C674FC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904177"/>
    <w:multiLevelType w:val="multilevel"/>
    <w:tmpl w:val="8C6208D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A958CD"/>
    <w:multiLevelType w:val="multilevel"/>
    <w:tmpl w:val="F274DBE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612BD5"/>
    <w:multiLevelType w:val="multilevel"/>
    <w:tmpl w:val="9CD4D7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50456D"/>
    <w:multiLevelType w:val="multilevel"/>
    <w:tmpl w:val="48F09FD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7B619F"/>
    <w:multiLevelType w:val="multilevel"/>
    <w:tmpl w:val="9E5CA7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D43D53"/>
    <w:multiLevelType w:val="multilevel"/>
    <w:tmpl w:val="92CE81C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5853B8"/>
    <w:multiLevelType w:val="multilevel"/>
    <w:tmpl w:val="03E6047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A3075A"/>
    <w:multiLevelType w:val="multilevel"/>
    <w:tmpl w:val="7E5AC5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7327D1"/>
    <w:multiLevelType w:val="multilevel"/>
    <w:tmpl w:val="7298BA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F91611"/>
    <w:multiLevelType w:val="multilevel"/>
    <w:tmpl w:val="5858B9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681717"/>
    <w:multiLevelType w:val="multilevel"/>
    <w:tmpl w:val="E9F852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F527F5"/>
    <w:multiLevelType w:val="multilevel"/>
    <w:tmpl w:val="3E464D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9B6A20"/>
    <w:multiLevelType w:val="multilevel"/>
    <w:tmpl w:val="3342EE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0458DC"/>
    <w:multiLevelType w:val="multilevel"/>
    <w:tmpl w:val="4E9E7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711338"/>
    <w:multiLevelType w:val="multilevel"/>
    <w:tmpl w:val="E56620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68228C"/>
    <w:multiLevelType w:val="multilevel"/>
    <w:tmpl w:val="012AFE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C01C80"/>
    <w:multiLevelType w:val="multilevel"/>
    <w:tmpl w:val="262830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0306B7C"/>
    <w:multiLevelType w:val="multilevel"/>
    <w:tmpl w:val="60B451D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9A07BF"/>
    <w:multiLevelType w:val="multilevel"/>
    <w:tmpl w:val="A926BD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53A71F1"/>
    <w:multiLevelType w:val="multilevel"/>
    <w:tmpl w:val="F6162B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8E19F5"/>
    <w:multiLevelType w:val="multilevel"/>
    <w:tmpl w:val="2902AA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DC1952"/>
    <w:multiLevelType w:val="multilevel"/>
    <w:tmpl w:val="396E94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2"/>
  </w:num>
  <w:num w:numId="2">
    <w:abstractNumId w:val="19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2"/>
  </w:num>
  <w:num w:numId="9">
    <w:abstractNumId w:val="21"/>
  </w:num>
  <w:num w:numId="10">
    <w:abstractNumId w:val="13"/>
  </w:num>
  <w:num w:numId="11">
    <w:abstractNumId w:val="11"/>
  </w:num>
  <w:num w:numId="12">
    <w:abstractNumId w:val="4"/>
  </w:num>
  <w:num w:numId="13">
    <w:abstractNumId w:val="17"/>
  </w:num>
  <w:num w:numId="14">
    <w:abstractNumId w:val="10"/>
  </w:num>
  <w:num w:numId="15">
    <w:abstractNumId w:val="18"/>
  </w:num>
  <w:num w:numId="16">
    <w:abstractNumId w:val="1"/>
  </w:num>
  <w:num w:numId="17">
    <w:abstractNumId w:val="16"/>
  </w:num>
  <w:num w:numId="18">
    <w:abstractNumId w:val="0"/>
  </w:num>
  <w:num w:numId="19">
    <w:abstractNumId w:val="20"/>
  </w:num>
  <w:num w:numId="20">
    <w:abstractNumId w:val="8"/>
  </w:num>
  <w:num w:numId="21">
    <w:abstractNumId w:val="14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301EF2"/>
    <w:rsid w:val="00301EF2"/>
    <w:rsid w:val="00BA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8028"/>
  <w15:docId w15:val="{29F57845-5A7A-4475-8DDB-888C07CF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Arial Unicode MS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  <w:lang w:val="uk-U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4"/>
      <w:szCs w:val="24"/>
      <w:lang w:val="uk-U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  <w:lang w:val="uk-U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  <w:sz w:val="24"/>
      <w:szCs w:val="24"/>
      <w:lang w:val="uk-UA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  <w:sz w:val="24"/>
      <w:szCs w:val="24"/>
      <w:lang w:val="uk-U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hAnsi="Times New Roman" w:cs="Times New Roman"/>
      <w:sz w:val="24"/>
      <w:szCs w:val="24"/>
      <w:lang w:val="uk-UA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 w:cs="Times New Roman"/>
      <w:sz w:val="24"/>
      <w:szCs w:val="24"/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hAnsi="Times New Roman" w:cs="Times New Roman"/>
      <w:sz w:val="24"/>
      <w:szCs w:val="24"/>
      <w:lang w:val="uk-UA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hAnsi="Times New Roman" w:cs="Times New Roman"/>
      <w:sz w:val="24"/>
      <w:szCs w:val="24"/>
      <w:lang w:val="uk-UA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hAnsi="Times New Roman" w:cs="Times New Roman"/>
      <w:sz w:val="24"/>
      <w:szCs w:val="24"/>
      <w:lang w:val="uk-UA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hAnsi="Times New Roman" w:cs="Times New Roman"/>
      <w:sz w:val="24"/>
      <w:szCs w:val="24"/>
      <w:lang w:val="uk-UA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hAnsi="Times New Roman" w:cs="Times New Roman"/>
      <w:sz w:val="24"/>
      <w:szCs w:val="24"/>
      <w:lang w:val="uk-UA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hAnsi="Times New Roman" w:cs="Times New Roman"/>
      <w:sz w:val="24"/>
      <w:szCs w:val="24"/>
      <w:lang w:val="uk-UA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  <w:sz w:val="24"/>
      <w:szCs w:val="24"/>
      <w:lang w:val="uk-UA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hAnsi="Times New Roman" w:cs="Times New Roman"/>
      <w:sz w:val="24"/>
      <w:szCs w:val="24"/>
      <w:lang w:val="uk-UA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hAnsi="Times New Roman" w:cs="Times New Roman"/>
      <w:sz w:val="24"/>
      <w:szCs w:val="24"/>
      <w:lang w:val="uk-UA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 New Roman" w:hAnsi="Times New Roman" w:cs="Times New Roman"/>
      <w:sz w:val="24"/>
      <w:szCs w:val="24"/>
      <w:lang w:val="uk-UA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hAnsi="Times New Roman" w:cs="Times New Roman"/>
      <w:sz w:val="24"/>
      <w:szCs w:val="24"/>
      <w:lang w:val="uk-UA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imes New Roman" w:hAnsi="Times New Roman" w:cs="Times New Roman"/>
      <w:sz w:val="24"/>
      <w:szCs w:val="24"/>
      <w:lang w:val="uk-UA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  <w:sz w:val="24"/>
      <w:szCs w:val="24"/>
      <w:lang w:val="uk-UA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hAnsi="Times New Roman" w:cs="Times New Roman"/>
      <w:sz w:val="24"/>
      <w:szCs w:val="24"/>
      <w:lang w:val="uk-UA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Times New Roman" w:hAnsi="Times New Roman" w:cs="Times New Roman"/>
      <w:sz w:val="24"/>
      <w:szCs w:val="24"/>
      <w:lang w:val="uk-UA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a3">
    <w:name w:val="Шрифт абзацу за замовчуванням"/>
    <w:qFormat/>
  </w:style>
  <w:style w:type="character" w:customStyle="1" w:styleId="30">
    <w:name w:val="Заголовок 3 Знак"/>
    <w:qFormat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a4">
    <w:name w:val="Основний текст з відступом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5yl5">
    <w:name w:val="_5yl5"/>
    <w:basedOn w:val="a3"/>
    <w:qFormat/>
  </w:style>
  <w:style w:type="character" w:customStyle="1" w:styleId="copy-file-field">
    <w:name w:val="copy-file-field"/>
    <w:basedOn w:val="a3"/>
    <w:qFormat/>
  </w:style>
  <w:style w:type="character" w:styleId="a5">
    <w:name w:val="Hyperlink"/>
    <w:rPr>
      <w:color w:val="0563C1"/>
      <w:u w:val="single"/>
    </w:rPr>
  </w:style>
  <w:style w:type="character" w:customStyle="1" w:styleId="a6">
    <w:name w:val="Незакрита згадка"/>
    <w:qFormat/>
    <w:rPr>
      <w:color w:val="605E5C"/>
      <w:shd w:val="clear" w:color="auto" w:fill="E1DFDD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Tahoma" w:hAnsi="Arial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a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b">
    <w:name w:val="Body Text Indent"/>
    <w:basedOn w:val="a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val="uk-UA"/>
    </w:rPr>
  </w:style>
  <w:style w:type="paragraph" w:styleId="ac">
    <w:name w:val="List Paragraph"/>
    <w:basedOn w:val="a"/>
    <w:qFormat/>
    <w:pPr>
      <w:ind w:left="708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5420</TotalTime>
  <Pages>20</Pages>
  <Words>21608</Words>
  <Characters>12317</Characters>
  <Application>Microsoft Office Word</Application>
  <DocSecurity>0</DocSecurity>
  <Lines>102</Lines>
  <Paragraphs>67</Paragraphs>
  <ScaleCrop>false</ScaleCrop>
  <Company/>
  <LinksUpToDate>false</LinksUpToDate>
  <CharactersWithSpaces>33858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UID</cp:lastModifiedBy>
  <cp:revision>2</cp:revision>
  <dcterms:created xsi:type="dcterms:W3CDTF">2025-06-30T11:23:00Z</dcterms:created>
  <dcterms:modified xsi:type="dcterms:W3CDTF">2025-06-30T11:23:00Z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2019-08-12T06:11:00Z</dcterms:created>
  <dc:creator>User</dc:creator>
  <dc:description/>
  <cp:keywords/>
  <dc:language>en-US</dc:language>
  <cp:lastModifiedBy>380965145154</cp:lastModifiedBy>
  <cp:lastPrinted>2025-06-19T08:32:00Z</cp:lastPrinted>
  <dcterms:modified xsi:type="dcterms:W3CDTF">2025-06-30T10:22:00Z</dcterms:modified>
  <cp:revision>83</cp:revision>
  <dc:subject/>
  <dc:title/>
</cp:coreProperties>
</file>