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414E" w:rsidRDefault="00526310">
      <w:pPr>
        <w:ind w:left="5670" w:right="-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ЗАТВЕРДЖЕНО</w:t>
      </w:r>
    </w:p>
    <w:p w:rsidR="0066414E" w:rsidRDefault="0066414E">
      <w:pPr>
        <w:spacing w:line="45" w:lineRule="exact"/>
        <w:ind w:left="5670"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526310">
      <w:pPr>
        <w:ind w:left="5670" w:right="-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розпорядження</w:t>
      </w:r>
    </w:p>
    <w:p w:rsidR="0066414E" w:rsidRDefault="00526310">
      <w:pPr>
        <w:ind w:left="5670" w:right="-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Івано-Франківської обласної військової </w:t>
      </w:r>
    </w:p>
    <w:p w:rsidR="0066414E" w:rsidRDefault="0066414E">
      <w:pPr>
        <w:spacing w:line="43" w:lineRule="exact"/>
        <w:ind w:left="5670"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526310">
      <w:pPr>
        <w:ind w:left="5670" w:right="-1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адміністрації</w:t>
      </w:r>
    </w:p>
    <w:p w:rsidR="0066414E" w:rsidRDefault="0066414E">
      <w:pPr>
        <w:spacing w:line="33" w:lineRule="exact"/>
        <w:ind w:left="5670" w:right="-1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526310">
      <w:pPr>
        <w:ind w:left="5670" w:right="-1"/>
        <w:rPr>
          <w:rFonts w:ascii="Times New Roman" w:eastAsia="Tahoma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від ___________ № ______</w:t>
      </w:r>
    </w:p>
    <w:p w:rsidR="0066414E" w:rsidRDefault="0066414E">
      <w:pPr>
        <w:spacing w:line="200" w:lineRule="exact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:rsidR="0066414E" w:rsidRDefault="0066414E">
      <w:pPr>
        <w:spacing w:line="200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66414E">
      <w:pPr>
        <w:spacing w:line="288" w:lineRule="exact"/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5263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ПОРЯДОК</w:t>
      </w:r>
    </w:p>
    <w:p w:rsidR="0066414E" w:rsidRDefault="00526310">
      <w:pPr>
        <w:spacing w:line="228" w:lineRule="auto"/>
        <w:ind w:hanging="4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організації в Івано-Франківській обласній державній(військовій) адміністрації роботи </w:t>
      </w:r>
    </w:p>
    <w:p w:rsidR="0066414E" w:rsidRDefault="00526310">
      <w:pPr>
        <w:spacing w:line="228" w:lineRule="auto"/>
        <w:ind w:hanging="415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 повідомленнями про корупцію, внесеними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викривачами</w:t>
      </w:r>
    </w:p>
    <w:p w:rsidR="0066414E" w:rsidRDefault="0066414E">
      <w:pPr>
        <w:spacing w:line="337" w:lineRule="exac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5263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І. Загальні положення</w:t>
      </w:r>
    </w:p>
    <w:p w:rsidR="0066414E" w:rsidRDefault="00526310">
      <w:pPr>
        <w:spacing w:line="259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Цей порядок визначає організацію роботи з повідомленнями</w:t>
      </w:r>
      <w:r>
        <w:rPr>
          <w:color w:val="333333"/>
          <w:shd w:val="clear" w:color="auto" w:fill="FFFFFF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 можливі факти корупційних або пов’язаних з корупцією правопорушень, інших порушень Закону України «Про запобігання корупції» (далі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 </w:t>
      </w:r>
      <w:r>
        <w:rPr>
          <w:rFonts w:ascii="Times New Roman" w:eastAsia="Times New Roman" w:hAnsi="Times New Roman" w:cs="Times New Roman"/>
          <w:sz w:val="28"/>
          <w:szCs w:val="28"/>
        </w:rPr>
        <w:t>Закон), внесеними викрив</w:t>
      </w:r>
      <w:r>
        <w:rPr>
          <w:rFonts w:ascii="Times New Roman" w:eastAsia="Times New Roman" w:hAnsi="Times New Roman" w:cs="Times New Roman"/>
          <w:sz w:val="28"/>
          <w:szCs w:val="28"/>
        </w:rPr>
        <w:t>ачами до Івано-Франківської обласної державної (військової) адміністрації (далі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8"/>
          <w:szCs w:val="28"/>
        </w:rPr>
        <w:t>обласна державна (військова) адміністрація) через Єдиний портал повідомлень викривачів чи інші зовнішні, внутрішні канали зв’язку, письмові чи усні повідомлення тощо (далі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Порядок).</w:t>
      </w:r>
    </w:p>
    <w:p w:rsidR="0066414E" w:rsidRDefault="0066414E">
      <w:pPr>
        <w:spacing w:line="1" w:lineRule="exact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526310">
      <w:pPr>
        <w:spacing w:line="28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 Терміни у цьому Порядку вживаються у значеннях, наведених у Законі України «Про запобігання корупції», Законі України «Про інформацію», зокрема:</w:t>
      </w:r>
    </w:p>
    <w:p w:rsidR="0066414E" w:rsidRDefault="0052631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викривач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– фізична особа, яка за наявності переконання, що інформація є достовірною, повідомила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 можливі факти корупційних або пов’язаних з корупцією правопорушень, інших порушень Закону, вчинених іншою особою, якщо така інформація стала їй відома у зв’язку з її трудовою, професійною, господарською, громадською, науковою діяльністю, проходженням н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ею служби чи навчання або її участю у передбачених законодавством процедурах, які є обов’язковими для початку такої діяльності, проходження служби чи навчання;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корупційне правопорушення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– діяння, що містить ознаки корупції, вчинене особою, зазначеною у </w:t>
      </w:r>
      <w:hyperlink r:id="rId4" w:anchor="n25" w:history="1">
        <w:r>
          <w:rPr>
            <w:rStyle w:val="a7"/>
            <w:rFonts w:eastAsia="Calibri"/>
            <w:color w:val="000000"/>
            <w:sz w:val="28"/>
            <w:szCs w:val="28"/>
            <w:shd w:val="clear" w:color="auto" w:fill="FFFFFF"/>
          </w:rPr>
          <w:t>частині першій</w:t>
        </w:r>
      </w:hyperlink>
      <w:r>
        <w:rPr>
          <w:rFonts w:eastAsia="Calibri"/>
          <w:color w:val="000000"/>
          <w:sz w:val="28"/>
          <w:szCs w:val="28"/>
          <w:shd w:val="clear" w:color="auto" w:fill="FFFFFF"/>
        </w:rPr>
        <w:t> статті 3 Закону, за яке законом встановлено кримінальну, дисциплінарну та/або          цивільно-правову відповідальність;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0" w:name="n12"/>
      <w:bookmarkEnd w:id="0"/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корупція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 – використання особою, зазначеною у </w:t>
      </w:r>
      <w:hyperlink r:id="rId5" w:anchor="n25" w:history="1">
        <w:r>
          <w:rPr>
            <w:rStyle w:val="a7"/>
            <w:rFonts w:eastAsia="Calibri"/>
            <w:color w:val="000000"/>
            <w:sz w:val="28"/>
            <w:szCs w:val="28"/>
            <w:shd w:val="clear" w:color="auto" w:fill="FFFFFF"/>
          </w:rPr>
          <w:t>частині першій</w:t>
        </w:r>
      </w:hyperlink>
      <w:r>
        <w:rPr>
          <w:rFonts w:eastAsia="Calibri"/>
          <w:color w:val="000000"/>
          <w:sz w:val="28"/>
          <w:szCs w:val="28"/>
          <w:shd w:val="clear" w:color="auto" w:fill="FFFFFF"/>
        </w:rPr>
        <w:t> статті 3 Закону, наданих їй службових повноважень чи пов’язаних з ними можливостей з метою одержання неправомірної вигоди або прийняття такої вигоди чи прийняття обіцянки/пропозиції та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кої вигоди для себе чи інших осіб або відповідно обіцянка/пропозиція чи надання неправомірної вигоди особі, зазначеній у частині першій статті 3 Закону, або на її вимогу іншим фізичним чи юридичним особам з метою схилити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lastRenderedPageBreak/>
        <w:t>цю особу до протиправного використа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ння наданих їй службових повноважень чи пов’язаних з ними можливостей;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1" w:name="n16"/>
      <w:bookmarkStart w:id="2" w:name="n14"/>
      <w:bookmarkStart w:id="3" w:name="n1962"/>
      <w:bookmarkStart w:id="4" w:name="n1963"/>
      <w:bookmarkStart w:id="5" w:name="n13"/>
      <w:bookmarkEnd w:id="1"/>
      <w:bookmarkEnd w:id="2"/>
      <w:bookmarkEnd w:id="3"/>
      <w:bookmarkEnd w:id="4"/>
      <w:bookmarkEnd w:id="5"/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правопорушення, пов’язане з корупцією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– діяння, що не містить ознак корупції, але порушує встановлені Законом вимоги, заборони та обмеження, вчинене особою, зазначеною у </w:t>
      </w:r>
      <w:hyperlink r:id="rId6" w:anchor="n25" w:history="1">
        <w:r>
          <w:rPr>
            <w:rStyle w:val="a7"/>
            <w:rFonts w:eastAsia="Calibri"/>
            <w:color w:val="000000"/>
            <w:sz w:val="28"/>
            <w:szCs w:val="28"/>
            <w:shd w:val="clear" w:color="auto" w:fill="FFFFFF"/>
          </w:rPr>
          <w:t>частині першій</w:t>
        </w:r>
      </w:hyperlink>
      <w:r>
        <w:rPr>
          <w:rFonts w:eastAsia="Calibri"/>
          <w:color w:val="000000"/>
          <w:sz w:val="28"/>
          <w:szCs w:val="28"/>
          <w:shd w:val="clear" w:color="auto" w:fill="FFFFFF"/>
        </w:rPr>
        <w:t> статті 3 Закону, за яке законом встановлено кримінальну, адміністративну, дисциплінарну та/або цивільно-правову відповідальність;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повідомлення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– інформація, що містить фактичні дані, які вк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азують на можливе вчинення корупційного або пов’язаного з корупцією правопорушення, інших порушень Закону та можуть бути перевірені;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  <w:rPr>
          <w:rFonts w:eastAsia="Calibri"/>
          <w:color w:val="000000"/>
          <w:sz w:val="28"/>
          <w:szCs w:val="28"/>
          <w:highlight w:val="white"/>
        </w:rPr>
      </w:pPr>
      <w:bookmarkStart w:id="6" w:name="n991"/>
      <w:bookmarkStart w:id="7" w:name="n17"/>
      <w:bookmarkEnd w:id="6"/>
      <w:bookmarkEnd w:id="7"/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спеціально уповноважені суб’єкти у сфері протидії корупції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 xml:space="preserve"> – органи прокуратури, Національної поліції, Національне антикору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пційне бюро України, Національне агентство з питань запобігання корупції;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  <w:rPr>
          <w:rFonts w:eastAsia="Calibri"/>
          <w:color w:val="000000"/>
          <w:sz w:val="28"/>
          <w:szCs w:val="28"/>
          <w:highlight w:val="white"/>
        </w:rPr>
      </w:pPr>
      <w:r>
        <w:rPr>
          <w:rFonts w:eastAsia="Calibri"/>
          <w:b/>
          <w:color w:val="000000"/>
          <w:sz w:val="28"/>
          <w:szCs w:val="28"/>
          <w:shd w:val="clear" w:color="auto" w:fill="FFFFFF"/>
        </w:rPr>
        <w:t>ідентифікація повідомлення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– встановлення відповідності інформації, наведеної в повідомленні, ознакам корупційного або пов’язаного з корупцією правопорушення;</w:t>
      </w:r>
    </w:p>
    <w:p w:rsidR="0066414E" w:rsidRDefault="0066414E">
      <w:pPr>
        <w:spacing w:line="2" w:lineRule="exac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  <w:bookmarkStart w:id="8" w:name="n992"/>
      <w:bookmarkEnd w:id="8"/>
    </w:p>
    <w:p w:rsidR="0066414E" w:rsidRDefault="00526310">
      <w:pPr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Єдиний портал </w:t>
      </w:r>
      <w:r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повідомлень викривачів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це інформаційно-телекомунікаційна система, яка має комплексну систему захисту інформації з підтвердженою відповідністю згідно із </w:t>
      </w:r>
      <w:hyperlink r:id="rId7" w:tgtFrame="_blank">
        <w:r>
          <w:rPr>
            <w:rStyle w:val="a7"/>
            <w:rFonts w:ascii="Times New Roman" w:hAnsi="Times New Roman" w:cs="Times New Roman"/>
            <w:color w:val="000000"/>
            <w:sz w:val="28"/>
            <w:szCs w:val="28"/>
          </w:rPr>
          <w:t>Законом України</w:t>
        </w:r>
      </w:hyperlink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"Про захис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 інформації в інформаційно-телекомунікаційних системах", що забезпечує обмін даними з викривачем за допомогою мережі Інтернет, збирання, зберігання, використання, захист, облік, пошук, узагальнення повідомлень викривачів, а також іншої інформації, в тому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числі про статус викривачів, стан та результати розгляду повідомлень викривачів.</w:t>
      </w:r>
    </w:p>
    <w:p w:rsidR="0066414E" w:rsidRDefault="0066414E">
      <w:pPr>
        <w:spacing w:line="1" w:lineRule="exact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</w:rPr>
      </w:pPr>
    </w:p>
    <w:p w:rsidR="0066414E" w:rsidRDefault="0066414E">
      <w:pPr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526310">
      <w:pPr>
        <w:ind w:firstLine="7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ІІ. Засади та принципи організації роботи з повідомленнями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Організація роботи з повідомленнями про порушення вимог Закону в обласній державній (військовій) адміністрації </w:t>
      </w:r>
      <w:r>
        <w:rPr>
          <w:rFonts w:ascii="Times New Roman" w:eastAsia="Times New Roman" w:hAnsi="Times New Roman" w:cs="Times New Roman"/>
          <w:sz w:val="28"/>
          <w:szCs w:val="28"/>
        </w:rPr>
        <w:t>здійснюється на таких засадах: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знання та обізнаність: інформування про можливість подати повідомлення та повноваження обласної державної (військової) адміністрації щодо його розгляду;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доступність: забезпечення безперешкодного доступу до подання повідомленн</w:t>
      </w:r>
      <w:r>
        <w:rPr>
          <w:rFonts w:ascii="Times New Roman" w:eastAsia="Times New Roman" w:hAnsi="Times New Roman" w:cs="Times New Roman"/>
          <w:sz w:val="28"/>
          <w:szCs w:val="28"/>
        </w:rPr>
        <w:t>я, зручність процесу подання таких повідомлень;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довіра: інформування про виконання державних гарантій захисту викривачів;</w:t>
      </w:r>
    </w:p>
    <w:p w:rsidR="0066414E" w:rsidRDefault="00526310">
      <w:pPr>
        <w:spacing w:line="25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відповідальність: забезпечення керівництвом обласної державної (військової) адміністрації роботи з повідомленнями;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ефективність: реагу</w:t>
      </w:r>
      <w:r>
        <w:rPr>
          <w:rFonts w:ascii="Times New Roman" w:eastAsia="Times New Roman" w:hAnsi="Times New Roman" w:cs="Times New Roman"/>
          <w:sz w:val="28"/>
          <w:szCs w:val="28"/>
        </w:rPr>
        <w:t>вання на випадки порушень вимог Закону;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прозорість: інформування викривачів про те, як розглядаються їхні повідомлення;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аналіз та вивчення: систематичний перегляд і коригування організації роботи з повідомленнями.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2. Принципи організації роботи з </w:t>
      </w:r>
      <w:r>
        <w:rPr>
          <w:rFonts w:ascii="Times New Roman" w:eastAsia="Times New Roman" w:hAnsi="Times New Roman" w:cs="Times New Roman"/>
          <w:sz w:val="28"/>
          <w:szCs w:val="28"/>
        </w:rPr>
        <w:t>повідомленнями про порушення вимог Закону:</w:t>
      </w:r>
    </w:p>
    <w:p w:rsidR="0066414E" w:rsidRDefault="00526310">
      <w:pPr>
        <w:ind w:firstLine="851"/>
        <w:jc w:val="both"/>
        <w:rPr>
          <w:rFonts w:ascii="Times New Roman" w:eastAsia="Tahoma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доброчесність: поведінка посадової особи обласної державної (військової) адміністрації має відповідати вимогам законодавства та загальновизнаним етичним нормам;</w:t>
      </w:r>
      <w:bookmarkStart w:id="9" w:name="page4"/>
      <w:bookmarkEnd w:id="9"/>
      <w:r>
        <w:rPr>
          <w:rFonts w:ascii="Times New Roman" w:eastAsia="Tahoma" w:hAnsi="Times New Roman" w:cs="Times New Roman"/>
          <w:sz w:val="28"/>
          <w:szCs w:val="28"/>
        </w:rPr>
        <w:t xml:space="preserve"> 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захист прав викривачів: посадові особи обласної </w:t>
      </w:r>
      <w:r>
        <w:rPr>
          <w:rFonts w:ascii="Times New Roman" w:eastAsia="Times New Roman" w:hAnsi="Times New Roman" w:cs="Times New Roman"/>
          <w:sz w:val="28"/>
          <w:szCs w:val="28"/>
        </w:rPr>
        <w:t>державної (військової) адміністрації, які мають доступ до повідомлень, повинні враховувати ризики для викривачів, пов’язані з поданням повідомлення, а також подальшим встановленням фактів порушення вимог Закону;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конфіденційність: у процесі збору, використа</w:t>
      </w:r>
      <w:r>
        <w:rPr>
          <w:rFonts w:ascii="Times New Roman" w:eastAsia="Times New Roman" w:hAnsi="Times New Roman" w:cs="Times New Roman"/>
          <w:sz w:val="28"/>
          <w:szCs w:val="28"/>
        </w:rPr>
        <w:t>ння та збереження інформації посадові особи обласної державної (військової) адміністрації повинні виконувати вимоги законодавства щодо нерозголошення інформації про викривача;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зворотній зв'язок: підтримання зв’язку з викривачем;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неупередженість: повідомлен</w:t>
      </w:r>
      <w:r>
        <w:rPr>
          <w:rFonts w:ascii="Times New Roman" w:eastAsia="Times New Roman" w:hAnsi="Times New Roman" w:cs="Times New Roman"/>
          <w:sz w:val="28"/>
          <w:szCs w:val="28"/>
        </w:rPr>
        <w:t>ня розглядається по суті та без жодних упереджень, які можуть виникати в результаті попередніх контактів викривача з обласною державною військовою адміністрацією;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об’єктивність: одержаній при розгляді повідомлення інформації дається повна та об’єктивна оці</w:t>
      </w:r>
      <w:r>
        <w:rPr>
          <w:rFonts w:ascii="Times New Roman" w:eastAsia="Times New Roman" w:hAnsi="Times New Roman" w:cs="Times New Roman"/>
          <w:sz w:val="28"/>
          <w:szCs w:val="28"/>
        </w:rPr>
        <w:t>нка;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рівність: забезпечується однакове ставлення до всіх викривачів незалежно від віку, статі, національної приналежності, віросповідання тощо.</w:t>
      </w:r>
    </w:p>
    <w:p w:rsidR="0066414E" w:rsidRDefault="005263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ІІІ. Організація роботи з повідомленнями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Повідомлення про порушення вимог Закону може бути як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письмовим, так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і усним. 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Письмові повідомлення можуть подаватися: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через Єдиний портал повідомлень викривачів;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- </w:t>
      </w:r>
      <w:r>
        <w:rPr>
          <w:rFonts w:ascii="Times New Roman" w:eastAsia="Times New Roman" w:hAnsi="Times New Roman" w:cs="Times New Roman"/>
          <w:sz w:val="28"/>
          <w:szCs w:val="28"/>
        </w:rPr>
        <w:t>поштою на адресу обласної державної (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військової)  адміністрації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: вул. Михайла Грушевського, 21, м. Івано-Франківськ, Івано-Франківська область, поштовий і</w:t>
      </w:r>
      <w:r>
        <w:rPr>
          <w:rFonts w:ascii="Times New Roman" w:eastAsia="Times New Roman" w:hAnsi="Times New Roman" w:cs="Times New Roman"/>
          <w:sz w:val="28"/>
          <w:szCs w:val="28"/>
        </w:rPr>
        <w:t>ндекс 76004;</w:t>
      </w:r>
    </w:p>
    <w:p w:rsidR="0066414E" w:rsidRDefault="00526310">
      <w:pPr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 через офіційний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вебсайт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обласної державної адміністрації: </w:t>
      </w:r>
      <w:hyperlink r:id="rId8">
        <w:r>
          <w:rPr>
            <w:rStyle w:val="a7"/>
            <w:rFonts w:ascii="Times New Roman" w:eastAsia="Times New Roman" w:hAnsi="Times New Roman" w:cs="Times New Roman"/>
            <w:sz w:val="28"/>
            <w:szCs w:val="28"/>
          </w:rPr>
          <w:t>www.if.gov.ua;</w:t>
        </w:r>
      </w:hyperlink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засобами електронного зв’язку шляхом направлення повідомлення електронною поштою на адресу: antukor@if.gov.ua;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під  час  пр</w:t>
      </w:r>
      <w:r>
        <w:rPr>
          <w:rFonts w:ascii="Times New Roman" w:eastAsia="Times New Roman" w:hAnsi="Times New Roman" w:cs="Times New Roman"/>
          <w:sz w:val="28"/>
          <w:szCs w:val="28"/>
        </w:rPr>
        <w:t>оведення  особистого  прийому  голови                    Івано-Франківської обласної державної адміністрації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обласної військової адміністрації та її заступників згідно із затвердженим графіком;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 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скриньку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повідомлень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викривачів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розташовану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на    1-му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поверсі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>приміщення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обласної державної (військової) адміністрації.</w:t>
      </w:r>
    </w:p>
    <w:p w:rsidR="0066414E" w:rsidRDefault="00526310">
      <w:pPr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3. Усне повідомлення може бути викладене викривачем: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 на особистому  прийомі  голови  Івано-Франківської обласної державної а</w:t>
      </w:r>
      <w:r>
        <w:rPr>
          <w:rFonts w:ascii="Times New Roman" w:eastAsia="Times New Roman" w:hAnsi="Times New Roman" w:cs="Times New Roman"/>
          <w:sz w:val="28"/>
          <w:szCs w:val="28"/>
        </w:rPr>
        <w:t>дміністрації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sz w:val="28"/>
          <w:szCs w:val="28"/>
        </w:rPr>
        <w:t>начальника обласної військової адміністрації та її заступників, згідно із затвердженим графіком, а також завідувачу сектору з питань запобігання і виявлення корупції апарату                    Івано-Франківської обласної державної адміністра</w:t>
      </w:r>
      <w:r>
        <w:rPr>
          <w:rFonts w:ascii="Times New Roman" w:eastAsia="Times New Roman" w:hAnsi="Times New Roman" w:cs="Times New Roman"/>
          <w:sz w:val="28"/>
          <w:szCs w:val="28"/>
        </w:rPr>
        <w:t>ції чи особі, яка його заміняє.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4. Сектор з питань запобігання і виявлення корупції апарату      Івано-Франківської обласної державної адміністрації (далі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 Сектор) здійснює приймання повідомлень викривачів у робочі дні, відповідно до встановленого режиму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роботи. З метою ефективного приймання повідомлень у телефонному режимі уповноваженою особою Сектору складається опитувальний лист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(додаток 1)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Небажання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заявника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надати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інформацію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 себе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опитувальним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листом не є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підставою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для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відмови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прийнятті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повід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омлення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66414E" w:rsidRDefault="0066414E">
      <w:pP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66414E" w:rsidRDefault="005263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IV. Механізм роботи з повідомленнями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10" w:name="n1490"/>
      <w:bookmarkEnd w:id="10"/>
      <w:r>
        <w:rPr>
          <w:color w:val="000000"/>
          <w:sz w:val="28"/>
          <w:szCs w:val="28"/>
        </w:rPr>
        <w:t xml:space="preserve">1. Викривач самостійно визначає, які канали використовувати для повідомлення про можливі факти корупційних або пов’язаних з корупцією правопорушень, інших порушень Закону, а саме: внутрішні, регулярні або </w:t>
      </w:r>
      <w:r>
        <w:rPr>
          <w:color w:val="000000"/>
          <w:sz w:val="28"/>
          <w:szCs w:val="28"/>
        </w:rPr>
        <w:t>зовнішні канали.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11" w:name="n1491"/>
      <w:bookmarkEnd w:id="11"/>
      <w:r>
        <w:rPr>
          <w:color w:val="000000"/>
          <w:sz w:val="28"/>
          <w:szCs w:val="28"/>
        </w:rPr>
        <w:t>2. </w:t>
      </w:r>
      <w:proofErr w:type="spellStart"/>
      <w:r>
        <w:rPr>
          <w:color w:val="000000"/>
          <w:sz w:val="28"/>
          <w:szCs w:val="28"/>
          <w:lang w:val="ru-RU"/>
        </w:rPr>
        <w:t>Вимоги</w:t>
      </w:r>
      <w:proofErr w:type="spellEnd"/>
      <w:r>
        <w:rPr>
          <w:color w:val="000000"/>
          <w:sz w:val="28"/>
          <w:szCs w:val="28"/>
          <w:lang w:val="ru-RU"/>
        </w:rPr>
        <w:t xml:space="preserve"> до </w:t>
      </w:r>
      <w:proofErr w:type="spellStart"/>
      <w:r>
        <w:rPr>
          <w:color w:val="000000"/>
          <w:sz w:val="28"/>
          <w:szCs w:val="28"/>
          <w:lang w:val="ru-RU"/>
        </w:rPr>
        <w:t>повідомлень</w:t>
      </w:r>
      <w:proofErr w:type="spellEnd"/>
      <w:r>
        <w:rPr>
          <w:color w:val="000000"/>
          <w:sz w:val="28"/>
          <w:szCs w:val="28"/>
          <w:lang w:val="ru-RU"/>
        </w:rPr>
        <w:t xml:space="preserve"> (у тому </w:t>
      </w:r>
      <w:proofErr w:type="spellStart"/>
      <w:r>
        <w:rPr>
          <w:color w:val="000000"/>
          <w:sz w:val="28"/>
          <w:szCs w:val="28"/>
          <w:lang w:val="ru-RU"/>
        </w:rPr>
        <w:t>числі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анонімних</w:t>
      </w:r>
      <w:proofErr w:type="spellEnd"/>
      <w:r>
        <w:rPr>
          <w:color w:val="000000"/>
          <w:sz w:val="28"/>
          <w:szCs w:val="28"/>
          <w:lang w:val="ru-RU"/>
        </w:rPr>
        <w:t xml:space="preserve">) про </w:t>
      </w:r>
      <w:proofErr w:type="spellStart"/>
      <w:r>
        <w:rPr>
          <w:color w:val="000000"/>
          <w:sz w:val="28"/>
          <w:szCs w:val="28"/>
          <w:lang w:val="ru-RU"/>
        </w:rPr>
        <w:t>можливі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факти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корупційних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або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пов’язаних</w:t>
      </w:r>
      <w:proofErr w:type="spellEnd"/>
      <w:r>
        <w:rPr>
          <w:color w:val="000000"/>
          <w:sz w:val="28"/>
          <w:szCs w:val="28"/>
          <w:lang w:val="ru-RU"/>
        </w:rPr>
        <w:t xml:space="preserve"> з </w:t>
      </w:r>
      <w:proofErr w:type="spellStart"/>
      <w:r>
        <w:rPr>
          <w:color w:val="000000"/>
          <w:sz w:val="28"/>
          <w:szCs w:val="28"/>
          <w:lang w:val="ru-RU"/>
        </w:rPr>
        <w:t>корупцією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правопорушень</w:t>
      </w:r>
      <w:proofErr w:type="spellEnd"/>
      <w:r>
        <w:rPr>
          <w:color w:val="000000"/>
          <w:sz w:val="28"/>
          <w:szCs w:val="28"/>
          <w:lang w:val="ru-RU"/>
        </w:rPr>
        <w:t xml:space="preserve">, </w:t>
      </w:r>
      <w:proofErr w:type="spellStart"/>
      <w:r>
        <w:rPr>
          <w:color w:val="000000"/>
          <w:sz w:val="28"/>
          <w:szCs w:val="28"/>
          <w:lang w:val="ru-RU"/>
        </w:rPr>
        <w:t>інших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proofErr w:type="gramStart"/>
      <w:r>
        <w:rPr>
          <w:color w:val="000000"/>
          <w:sz w:val="28"/>
          <w:szCs w:val="28"/>
          <w:lang w:val="ru-RU"/>
        </w:rPr>
        <w:t>порушень</w:t>
      </w:r>
      <w:proofErr w:type="spellEnd"/>
      <w:r>
        <w:rPr>
          <w:color w:val="000000"/>
          <w:sz w:val="28"/>
          <w:szCs w:val="28"/>
          <w:lang w:val="ru-RU"/>
        </w:rPr>
        <w:t xml:space="preserve">  Закону</w:t>
      </w:r>
      <w:proofErr w:type="gramEnd"/>
      <w:r>
        <w:rPr>
          <w:color w:val="000000"/>
          <w:sz w:val="28"/>
          <w:szCs w:val="28"/>
          <w:lang w:val="ru-RU"/>
        </w:rPr>
        <w:t xml:space="preserve"> та порядок </w:t>
      </w:r>
      <w:proofErr w:type="spellStart"/>
      <w:r>
        <w:rPr>
          <w:color w:val="000000"/>
          <w:sz w:val="28"/>
          <w:szCs w:val="28"/>
          <w:lang w:val="ru-RU"/>
        </w:rPr>
        <w:t>їх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розгляду</w:t>
      </w:r>
      <w:proofErr w:type="spellEnd"/>
      <w:r>
        <w:rPr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color w:val="000000"/>
          <w:sz w:val="28"/>
          <w:szCs w:val="28"/>
          <w:lang w:val="ru-RU"/>
        </w:rPr>
        <w:t>визначаються</w:t>
      </w:r>
      <w:proofErr w:type="spellEnd"/>
      <w:r>
        <w:rPr>
          <w:color w:val="000000"/>
          <w:sz w:val="28"/>
          <w:szCs w:val="28"/>
          <w:lang w:val="ru-RU"/>
        </w:rPr>
        <w:t xml:space="preserve"> Законом.</w:t>
      </w:r>
    </w:p>
    <w:p w:rsidR="0066414E" w:rsidRPr="00526310" w:rsidRDefault="00526310">
      <w:pPr>
        <w:pStyle w:val="rvps2"/>
        <w:shd w:val="clear" w:color="auto" w:fill="FFFFFF"/>
        <w:spacing w:before="0" w:after="0"/>
        <w:ind w:firstLine="851"/>
        <w:jc w:val="both"/>
        <w:rPr>
          <w:color w:val="000000"/>
          <w:sz w:val="28"/>
          <w:szCs w:val="28"/>
        </w:rPr>
      </w:pPr>
      <w:bookmarkStart w:id="12" w:name="n1818"/>
      <w:bookmarkEnd w:id="12"/>
      <w:r w:rsidRPr="00526310">
        <w:rPr>
          <w:color w:val="000000"/>
          <w:sz w:val="28"/>
          <w:szCs w:val="28"/>
        </w:rPr>
        <w:t xml:space="preserve">Повідомлення підлягає розгляду, якщо наведена у </w:t>
      </w:r>
      <w:r w:rsidRPr="00526310">
        <w:rPr>
          <w:color w:val="000000"/>
          <w:sz w:val="28"/>
          <w:szCs w:val="28"/>
        </w:rPr>
        <w:t>ньому інформація містить фактичні дані, що вказують на можливе вчинення корупційного або пов’язаного з корупцією правопорушення, інших порушень Закону, які можуть бути перевірені.</w:t>
      </w:r>
    </w:p>
    <w:p w:rsidR="0066414E" w:rsidRDefault="00526310">
      <w:pPr>
        <w:ind w:firstLine="851"/>
        <w:jc w:val="both"/>
      </w:pPr>
      <w:bookmarkStart w:id="13" w:name="n1492"/>
      <w:bookmarkStart w:id="14" w:name="n1817"/>
      <w:bookmarkEnd w:id="13"/>
      <w:bookmarkEnd w:id="14"/>
      <w:r>
        <w:rPr>
          <w:rFonts w:ascii="Times New Roman" w:eastAsia="Times New Roman" w:hAnsi="Times New Roman" w:cs="Times New Roman"/>
          <w:sz w:val="28"/>
          <w:szCs w:val="28"/>
        </w:rPr>
        <w:t>3. Реєстрація повідомлень Сектором проводиться з метою забезпечення їх облік</w:t>
      </w:r>
      <w:r>
        <w:rPr>
          <w:rFonts w:ascii="Times New Roman" w:eastAsia="Times New Roman" w:hAnsi="Times New Roman" w:cs="Times New Roman"/>
          <w:sz w:val="28"/>
          <w:szCs w:val="28"/>
        </w:rPr>
        <w:t>у, моніторингу та контролю за станом виконання і оперативного використання наявної інформації, є початком офіційного процесу роботи з такими повідомленнями.</w:t>
      </w:r>
    </w:p>
    <w:p w:rsidR="0066414E" w:rsidRDefault="00526310">
      <w:pPr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Реєстрацію повідомлень, які надійшли до Сектору через засоби поштового, електронного зв’язку, Єдини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портал повідомлень викривачів та під час особистого прийому посадовими особами обласної державної (військової) адміністрації, здійснюють посадові особи Сектору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журналі обліку повідомлень про корупцію, внесених викривачами (додаток 2)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пізніше наступн</w:t>
      </w:r>
      <w:r>
        <w:rPr>
          <w:rFonts w:ascii="Times New Roman" w:eastAsia="Times New Roman" w:hAnsi="Times New Roman" w:cs="Times New Roman"/>
          <w:sz w:val="28"/>
          <w:szCs w:val="28"/>
        </w:rPr>
        <w:t>ого робочого дня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наявності анонімних повідомлень у відповідній графі журналу робиться позначка «Анонімно».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Повідомлення підлягає попередньому розгляду у строк не більше десяти робочих днів з дня внесення цієї інформації до Єдиного порталу повідомле</w:t>
      </w:r>
      <w:r>
        <w:rPr>
          <w:color w:val="000000"/>
          <w:sz w:val="28"/>
          <w:szCs w:val="28"/>
        </w:rPr>
        <w:t>нь викривачів, реєстрації в журналі обліку повідомлень про корупцію, внесених викривачами.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15" w:name="n1493"/>
      <w:bookmarkEnd w:id="15"/>
      <w:r>
        <w:rPr>
          <w:color w:val="000000"/>
          <w:sz w:val="28"/>
          <w:szCs w:val="28"/>
        </w:rPr>
        <w:t>5. У разі якщо під час попереднього розгляду повідомлення встановлено, що воно не відповідає вимогам Закону, його подальший розгляд здійснюється у порядку, визначено</w:t>
      </w:r>
      <w:r>
        <w:rPr>
          <w:color w:val="000000"/>
          <w:sz w:val="28"/>
          <w:szCs w:val="28"/>
        </w:rPr>
        <w:t>му для розгляду звернень громадян. Посадові особи Сектору не пізніше наступного робочого дня, після завершення попереднього розгляду, передають повідомлення до відділу роботи із зверненнями громадян апарату Івано-Франківської обласної державної  адміністра</w:t>
      </w:r>
      <w:r>
        <w:rPr>
          <w:color w:val="000000"/>
          <w:sz w:val="28"/>
          <w:szCs w:val="28"/>
        </w:rPr>
        <w:t xml:space="preserve">ції для реєстрації в порядку, встановленому для звернень громадян, </w:t>
      </w:r>
      <w:bookmarkStart w:id="16" w:name="n1494"/>
      <w:bookmarkEnd w:id="16"/>
      <w:r>
        <w:rPr>
          <w:color w:val="000000"/>
          <w:sz w:val="28"/>
          <w:szCs w:val="28"/>
        </w:rPr>
        <w:t>про що інформується особа, яка здійснила повідомлення, у триденний строк з дня завершення відповідного розгляду.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r>
        <w:rPr>
          <w:color w:val="000000"/>
          <w:sz w:val="28"/>
          <w:szCs w:val="28"/>
        </w:rPr>
        <w:lastRenderedPageBreak/>
        <w:t>6. У разі якщо під час попереднього розгляду повідомлення встановлено, що во</w:t>
      </w:r>
      <w:r>
        <w:rPr>
          <w:color w:val="000000"/>
          <w:sz w:val="28"/>
          <w:szCs w:val="28"/>
        </w:rPr>
        <w:t>но не належить до компетенції обласної державної (військової) адміністрації, подальший розгляд такого повідомлення припиняється, про що інформується особа, яка здійснила повідомлення, з одночасним роз’ясненням щодо компетенції органу або юридичної особи, у</w:t>
      </w:r>
      <w:r>
        <w:rPr>
          <w:color w:val="000000"/>
          <w:sz w:val="28"/>
          <w:szCs w:val="28"/>
        </w:rPr>
        <w:t>повноважених на здійснення розгляду чи розслідування фактів, викладених у повідомленні.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17" w:name="n1495"/>
      <w:bookmarkEnd w:id="17"/>
      <w:r>
        <w:rPr>
          <w:color w:val="000000"/>
          <w:sz w:val="28"/>
          <w:szCs w:val="28"/>
        </w:rPr>
        <w:t>7. У разі якщо наведена у повідомленні інформація стосується працівників Сектору, до якого (якої) надійшло таке повідомлення, порядок розгляду такого повідомлення визна</w:t>
      </w:r>
      <w:r>
        <w:rPr>
          <w:color w:val="000000"/>
          <w:sz w:val="28"/>
          <w:szCs w:val="28"/>
        </w:rPr>
        <w:t xml:space="preserve">чається </w:t>
      </w:r>
      <w:r>
        <w:rPr>
          <w:sz w:val="28"/>
          <w:szCs w:val="28"/>
        </w:rPr>
        <w:t xml:space="preserve">головою  Івано-Франківської обласної державної адміністрації 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–</w:t>
      </w:r>
      <w:r>
        <w:rPr>
          <w:sz w:val="28"/>
          <w:szCs w:val="28"/>
        </w:rPr>
        <w:t xml:space="preserve"> начальником обласної військової адміністрації </w:t>
      </w:r>
      <w:r>
        <w:rPr>
          <w:color w:val="000000"/>
          <w:sz w:val="28"/>
          <w:szCs w:val="28"/>
        </w:rPr>
        <w:t>чи іншою посадовою особою, визначеною нею.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18" w:name="n1496"/>
      <w:bookmarkEnd w:id="18"/>
      <w:r>
        <w:rPr>
          <w:color w:val="000000"/>
          <w:sz w:val="28"/>
          <w:szCs w:val="28"/>
        </w:rPr>
        <w:t xml:space="preserve">8. У разі якщо наведена у повідомленні інформація стосується </w:t>
      </w:r>
      <w:r>
        <w:rPr>
          <w:sz w:val="28"/>
          <w:szCs w:val="28"/>
        </w:rPr>
        <w:t>голови  Івано-Франківської обласної</w:t>
      </w:r>
      <w:r>
        <w:rPr>
          <w:sz w:val="28"/>
          <w:szCs w:val="28"/>
        </w:rPr>
        <w:t xml:space="preserve"> державної адміністрації </w:t>
      </w:r>
      <w:r>
        <w:rPr>
          <w:rFonts w:eastAsia="Calibri"/>
          <w:color w:val="000000"/>
          <w:sz w:val="28"/>
          <w:szCs w:val="28"/>
          <w:shd w:val="clear" w:color="auto" w:fill="FFFFFF"/>
        </w:rPr>
        <w:t>– </w:t>
      </w:r>
      <w:r>
        <w:rPr>
          <w:sz w:val="28"/>
          <w:szCs w:val="28"/>
        </w:rPr>
        <w:t>начальника обласної військової адміністрації</w:t>
      </w:r>
      <w:r>
        <w:rPr>
          <w:color w:val="000000"/>
          <w:sz w:val="28"/>
          <w:szCs w:val="28"/>
        </w:rPr>
        <w:t>, таке повідомлення у триденний строк надсилається суб’єкту, уповноваженому здійснювати розгляд чи розслідування фактів, викладених у повідомленні, про що інформується особа, яка здійсн</w:t>
      </w:r>
      <w:r>
        <w:rPr>
          <w:color w:val="000000"/>
          <w:sz w:val="28"/>
          <w:szCs w:val="28"/>
        </w:rPr>
        <w:t>ила повідомлення.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19" w:name="n1497"/>
      <w:bookmarkEnd w:id="19"/>
      <w:r>
        <w:rPr>
          <w:color w:val="000000"/>
          <w:sz w:val="28"/>
          <w:szCs w:val="28"/>
        </w:rPr>
        <w:t>9. У разі якщо за результатами попереднього розгляду повідомлення викладена у ньому інформація підтверджується, винні особи притягаються до дисциплінарної відповідальності уповноваженим на це суб’єктом відповідного органу або юридичної ос</w:t>
      </w:r>
      <w:r>
        <w:rPr>
          <w:color w:val="000000"/>
          <w:sz w:val="28"/>
          <w:szCs w:val="28"/>
        </w:rPr>
        <w:t>оби.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  <w:rPr>
          <w:color w:val="000000"/>
          <w:sz w:val="28"/>
          <w:szCs w:val="28"/>
        </w:rPr>
      </w:pPr>
      <w:bookmarkStart w:id="20" w:name="n1498"/>
      <w:bookmarkEnd w:id="20"/>
      <w:r>
        <w:rPr>
          <w:color w:val="000000"/>
          <w:sz w:val="28"/>
          <w:szCs w:val="28"/>
        </w:rPr>
        <w:t>У разі якщо в ході проведення попереднього розгляду виявляються ознаки корупційного правопорушення чи правопорушення, пов’язаного з корупцією, матеріали передаються відповідному спеціально уповноваженому суб’єкту у сфері протидії корупції або Державно</w:t>
      </w:r>
      <w:r>
        <w:rPr>
          <w:color w:val="000000"/>
          <w:sz w:val="28"/>
          <w:szCs w:val="28"/>
        </w:rPr>
        <w:t>му бюро розслідувань.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  <w:rPr>
          <w:color w:val="000000"/>
          <w:sz w:val="28"/>
          <w:szCs w:val="28"/>
        </w:rPr>
      </w:pPr>
      <w:bookmarkStart w:id="21" w:name="n1499"/>
      <w:bookmarkEnd w:id="21"/>
      <w:r>
        <w:rPr>
          <w:color w:val="000000"/>
          <w:sz w:val="28"/>
          <w:szCs w:val="28"/>
        </w:rPr>
        <w:t xml:space="preserve">Дисциплінарне провадження за повідомленням проводиться у строк не більше 30 днів з дня завершення попереднього розгляду. Якщо в зазначений строк перевірити повідомлену інформацію неможливо, строк дисциплінарного провадження може бути </w:t>
      </w:r>
      <w:r>
        <w:rPr>
          <w:color w:val="000000"/>
          <w:sz w:val="28"/>
          <w:szCs w:val="28"/>
        </w:rPr>
        <w:t>продовжено до 45 днів. Повторне продовження строку внутрішньої перевірки не допускається.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22" w:name="n1500"/>
      <w:bookmarkEnd w:id="22"/>
      <w:r>
        <w:rPr>
          <w:color w:val="000000"/>
          <w:sz w:val="28"/>
          <w:szCs w:val="28"/>
        </w:rPr>
        <w:t>10. Особі, яка здійснила повідомлення, надається детальна інформація про результати попереднього розгляду, а також дисциплінарного провадження (якщо воно проводилося)</w:t>
      </w:r>
      <w:r>
        <w:rPr>
          <w:color w:val="000000"/>
          <w:sz w:val="28"/>
          <w:szCs w:val="28"/>
        </w:rPr>
        <w:t xml:space="preserve"> у триденний строк з дня завершення відповідного розгляду чи провадження.</w:t>
      </w:r>
    </w:p>
    <w:p w:rsidR="0066414E" w:rsidRDefault="00526310">
      <w:pPr>
        <w:spacing w:line="259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23" w:name="n1501"/>
      <w:bookmarkEnd w:id="23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11. Відповіді за результатами розгляду повідомлень викривачів реєструються у Журналі вихідної кореспонденції за результатами розгляду повідомлень викривачів, який прошитий, прошнуров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аний та скріплений печаткою, ведеться та зберігається у Секторі.</w:t>
      </w:r>
    </w:p>
    <w:p w:rsidR="0066414E" w:rsidRDefault="00526310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12. Структурні підрозділи обласної державної (військової) адміністрації: </w:t>
      </w:r>
    </w:p>
    <w:p w:rsidR="0066414E" w:rsidRDefault="00526310">
      <w:pPr>
        <w:shd w:val="clear" w:color="auto" w:fill="FFFFFF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організовують роботу внутрішніх каналів повідомлення про можливі факти корупційних або пов'язаних з корупцією правопо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рушень, інших порушень вимог </w:t>
      </w:r>
      <w:hyperlink r:id="rId9" w:tgtFrame="_blank">
        <w:r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</w:rPr>
          <w:t>Закону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отримують та організовують розгляд повідомленої інформації;</w:t>
      </w:r>
    </w:p>
    <w:p w:rsidR="0066414E" w:rsidRDefault="00526310">
      <w:pPr>
        <w:shd w:val="clear" w:color="auto" w:fill="FFFFFF"/>
        <w:ind w:firstLine="851"/>
        <w:jc w:val="both"/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інформують голову  Івано-Франківської обласної державної адміністрації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обласної військової адміністрації про факти, що можуть свідчити про вчинення корупційних або пов'язаних з корупцією правопорушень та інших порушень вимог  </w:t>
      </w:r>
      <w:hyperlink r:id="rId10" w:tgtFrame="_blank">
        <w:r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</w:rPr>
          <w:t>Закону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не пізніше наступного дня з моменту отримання повідомлення для внесення до Єдиного порталу повідомлень викривачів;</w:t>
      </w:r>
    </w:p>
    <w:p w:rsidR="0066414E" w:rsidRDefault="00526310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здійснюють перевірку/розгляд отриманих повідомлень про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ожливі факти корупційних або пов'язаних з корупцією правопорушень, інших порушень </w:t>
      </w:r>
      <w:hyperlink r:id="rId11" w:tgtFrame="_blank">
        <w:r>
          <w:rPr>
            <w:rStyle w:val="a7"/>
            <w:rFonts w:ascii="Times New Roman" w:eastAsia="Times New Roman" w:hAnsi="Times New Roman" w:cs="Times New Roman"/>
            <w:color w:val="000000"/>
            <w:sz w:val="28"/>
            <w:szCs w:val="28"/>
          </w:rPr>
          <w:t>Закону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працівниками структурного підрозділу.</w:t>
      </w:r>
    </w:p>
    <w:p w:rsidR="0066414E" w:rsidRDefault="00526310">
      <w:pPr>
        <w:shd w:val="clear" w:color="auto" w:fill="FFFFFF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 Посадові і службові особи Івано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-Франківської обласної державної (військової) адміністрації у разі виявлення корупційного або пов’язаного з корупцією правопорушення чи одержання повідомлення про вчинення такого правопорушення працівниками відповідних державних органів, органів влади Авто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номної Республіки Крим, органів місцевого самоврядування, юридичних осіб публічного права, їх структурних підрозділів, юридичних осіб, зобов’язані у межах своїх повноважень ужити заходів щодо припинення такого правопорушення та негайно, протягом 24 годин,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письмово повідомити про його вчинення спеціально уповноважений суб’єкт у сфері протидії корупції.</w:t>
      </w:r>
    </w:p>
    <w:p w:rsidR="0066414E" w:rsidRDefault="0066414E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6414E" w:rsidRDefault="00526310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V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Повноваження посадових осіб, </w:t>
      </w:r>
    </w:p>
    <w:p w:rsidR="0066414E" w:rsidRDefault="00526310">
      <w:pPr>
        <w:ind w:firstLine="851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залучених до роботи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повідомленнями</w:t>
      </w:r>
    </w:p>
    <w:p w:rsidR="0066414E" w:rsidRDefault="00526310">
      <w:pPr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1. Посадові особи обласної державної (військової) адміністрації, залучені до роботи з </w:t>
      </w:r>
      <w:r>
        <w:rPr>
          <w:rFonts w:ascii="Times New Roman" w:eastAsia="Times New Roman" w:hAnsi="Times New Roman" w:cs="Times New Roman"/>
          <w:sz w:val="28"/>
          <w:szCs w:val="28"/>
        </w:rPr>
        <w:t>повідомленнями, мають відповідати професійним стандартам державного службовця та дотримуватися правил етичної поведінки.</w:t>
      </w:r>
    </w:p>
    <w:p w:rsidR="0066414E" w:rsidRDefault="00526310">
      <w:pPr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2. На виконання повноважень у сфері захисту викривачів посадові особи Сектору мають право: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24" w:name="n1562"/>
      <w:bookmarkEnd w:id="24"/>
      <w:r>
        <w:rPr>
          <w:sz w:val="28"/>
          <w:szCs w:val="28"/>
        </w:rPr>
        <w:t>- витребувати від підприємств, установ, орга</w:t>
      </w:r>
      <w:r>
        <w:rPr>
          <w:sz w:val="28"/>
          <w:szCs w:val="28"/>
        </w:rPr>
        <w:t>нізацій, структурних підрозділів обласної державної адміністрації документи (належним чином завірені копії), у тому числі ті, що містять інформацію з обмеженим доступом (крім державної таємниці);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25" w:name="n1563"/>
      <w:bookmarkStart w:id="26" w:name="n1820"/>
      <w:bookmarkEnd w:id="25"/>
      <w:bookmarkEnd w:id="26"/>
      <w:r>
        <w:rPr>
          <w:sz w:val="28"/>
          <w:szCs w:val="28"/>
        </w:rPr>
        <w:t>- викликати та опитувати осіб, дій або бездіяльності яких ст</w:t>
      </w:r>
      <w:r>
        <w:rPr>
          <w:sz w:val="28"/>
          <w:szCs w:val="28"/>
        </w:rPr>
        <w:t>осуються повідомлені викривачем факти, у тому числі керівників, заступників керівників структурних підрозділів обласної державної  адміністрації, підприємства,  установи, організації;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27" w:name="n1564"/>
      <w:bookmarkEnd w:id="27"/>
      <w:r>
        <w:rPr>
          <w:sz w:val="28"/>
          <w:szCs w:val="28"/>
        </w:rPr>
        <w:t>- звертатися до Національного агентства з питань запобігання корупції що</w:t>
      </w:r>
      <w:r>
        <w:rPr>
          <w:sz w:val="28"/>
          <w:szCs w:val="28"/>
        </w:rPr>
        <w:t>до порушених прав викривача, його близьких осіб;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28" w:name="n1565"/>
      <w:bookmarkEnd w:id="28"/>
      <w:r>
        <w:rPr>
          <w:sz w:val="28"/>
          <w:szCs w:val="28"/>
        </w:rPr>
        <w:t>- вносити подання керівнику відповідного органу чи юридичної особи, підприємства, установи, організації, структурного підрозділу про притягнення винних осіб до дисциплінарної відповідальності за порушення За</w:t>
      </w:r>
      <w:r>
        <w:rPr>
          <w:sz w:val="28"/>
          <w:szCs w:val="28"/>
        </w:rPr>
        <w:t>кону;</w:t>
      </w:r>
    </w:p>
    <w:p w:rsidR="0066414E" w:rsidRDefault="00526310">
      <w:pPr>
        <w:pStyle w:val="rvps2"/>
        <w:shd w:val="clear" w:color="auto" w:fill="FFFFFF"/>
        <w:spacing w:before="0" w:after="0"/>
        <w:ind w:firstLine="851"/>
        <w:jc w:val="both"/>
      </w:pPr>
      <w:bookmarkStart w:id="29" w:name="n1566"/>
      <w:bookmarkEnd w:id="29"/>
      <w:r>
        <w:rPr>
          <w:sz w:val="28"/>
          <w:szCs w:val="28"/>
        </w:rPr>
        <w:t>- виконувати інші визначені законом повноваження, спрямовані на всебічний розгляд повідомлень викривачів та захист їхніх прав та свобод.</w:t>
      </w:r>
    </w:p>
    <w:p w:rsidR="0066414E" w:rsidRDefault="00526310">
      <w:pPr>
        <w:spacing w:line="228" w:lineRule="auto"/>
        <w:ind w:firstLine="851"/>
        <w:jc w:val="both"/>
      </w:pPr>
      <w:bookmarkStart w:id="30" w:name="n1567"/>
      <w:bookmarkEnd w:id="30"/>
      <w:r>
        <w:rPr>
          <w:rFonts w:ascii="Times New Roman" w:eastAsia="Times New Roman" w:hAnsi="Times New Roman" w:cs="Times New Roman"/>
          <w:sz w:val="28"/>
          <w:szCs w:val="28"/>
        </w:rPr>
        <w:t>3. Посадові особи Сектору, посадові особи структурних підрозділів обласної державної адміністрації, до повноважен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яких належить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організація роботи з повідомленнями про корупцію, внесеними викривачами підзвітні і відповідальні у своїй діяльності перед головою Івано-Франківської обласної державної адміністрації – начальником обласної військової адміністрації.</w:t>
      </w:r>
    </w:p>
    <w:p w:rsidR="0066414E" w:rsidRDefault="00526310">
      <w:pPr>
        <w:pStyle w:val="af"/>
        <w:spacing w:before="0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bookmarkStart w:id="31" w:name="n1568"/>
      <w:bookmarkEnd w:id="31"/>
      <w:r>
        <w:rPr>
          <w:rFonts w:ascii="Times New Roman" w:hAnsi="Times New Roman"/>
          <w:sz w:val="28"/>
          <w:szCs w:val="28"/>
          <w:lang w:eastAsia="uk-UA"/>
        </w:rPr>
        <w:t>4. Посад</w:t>
      </w:r>
      <w:r>
        <w:rPr>
          <w:rFonts w:ascii="Times New Roman" w:hAnsi="Times New Roman"/>
          <w:sz w:val="28"/>
          <w:szCs w:val="28"/>
          <w:lang w:eastAsia="uk-UA"/>
        </w:rPr>
        <w:t>ові особи обласної державної (військової)</w:t>
      </w:r>
      <w:r>
        <w:rPr>
          <w:rFonts w:ascii="Times New Roman" w:hAnsi="Times New Roman"/>
          <w:color w:val="000000"/>
          <w:sz w:val="28"/>
          <w:szCs w:val="28"/>
        </w:rPr>
        <w:t xml:space="preserve"> адміністрації,  у разі виявлення корупційного або пов’язаного з корупцією правопорушення чи одержання інформації про вчинення такого правопорушення  зобов’язані у межах повноважень ужити заходів щодо припинення так</w:t>
      </w:r>
      <w:r>
        <w:rPr>
          <w:rFonts w:ascii="Times New Roman" w:hAnsi="Times New Roman"/>
          <w:color w:val="000000"/>
          <w:sz w:val="28"/>
          <w:szCs w:val="28"/>
        </w:rPr>
        <w:t>ого правопорушення, розгляду причин і умов, що привели до вчинення правопорушення, та прийняття рішення відповідно до Закону України «Про запобігання корупції», Порядку проведення службового розслідування, затвердженого постановою Кабінету Міністрів Україн</w:t>
      </w:r>
      <w:r>
        <w:rPr>
          <w:rFonts w:ascii="Times New Roman" w:hAnsi="Times New Roman"/>
          <w:color w:val="000000"/>
          <w:sz w:val="28"/>
          <w:szCs w:val="28"/>
        </w:rPr>
        <w:t>и від 13.06.2000 № 950 (із змінами), цього Порядку, інших нормативно-правових актів у сфері протидії та запобігання корупції.</w:t>
      </w:r>
    </w:p>
    <w:p w:rsidR="0066414E" w:rsidRDefault="00526310">
      <w:pPr>
        <w:pStyle w:val="af"/>
        <w:spacing w:before="0"/>
        <w:ind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 xml:space="preserve">                   VI. Контроль за додержанням Порядку, проведення </w:t>
      </w:r>
    </w:p>
    <w:p w:rsidR="0066414E" w:rsidRDefault="00526310">
      <w:pPr>
        <w:ind w:right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аналітичної та роз’яснювал</w:t>
      </w:r>
      <w:r w:rsidRPr="00526310">
        <w:rPr>
          <w:rFonts w:ascii="Times New Roman" w:eastAsia="Times New Roman" w:hAnsi="Times New Roman" w:cs="Times New Roman"/>
          <w:b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ної роботи </w:t>
      </w:r>
    </w:p>
    <w:p w:rsidR="0066414E" w:rsidRDefault="00526310">
      <w:pPr>
        <w:spacing w:line="254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 Контроль за додержа</w:t>
      </w:r>
      <w:r>
        <w:rPr>
          <w:rFonts w:ascii="Times New Roman" w:eastAsia="Times New Roman" w:hAnsi="Times New Roman" w:cs="Times New Roman"/>
          <w:sz w:val="28"/>
          <w:szCs w:val="28"/>
        </w:rPr>
        <w:t>нням визначених у цьому Порядку вимог щодо організації роботи з повідомленнями про порушення вимог Закону здійснюється шляхом постійного моніторингу виконання в обласній державній (військовій) адміністрації вимог щодо організації роботи з повідомленнями.</w:t>
      </w:r>
    </w:p>
    <w:p w:rsidR="0066414E" w:rsidRDefault="0066414E">
      <w:pPr>
        <w:spacing w:line="2" w:lineRule="exact"/>
        <w:ind w:firstLine="851"/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526310">
      <w:pPr>
        <w:spacing w:line="252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2. З метою проведення моніторингу виконання завдань у сфері запобігання корупції, передбачених Законом, Сектором здійснюється аналіз роботи з повідомленнями про порушення вимог Закону.</w:t>
      </w:r>
    </w:p>
    <w:p w:rsidR="0066414E" w:rsidRDefault="00526310">
      <w:pPr>
        <w:spacing w:line="252" w:lineRule="auto"/>
        <w:ind w:firstLine="85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Сектор аналізує матеріали розгляду повідомлень, узагальнює їх результат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и, з’ясовує причини, що породжують повторні звернення викривачів. Про результати проведеного аналізу інформує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голову  Івано-Франківської обласної державної адміністрації 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–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начальника обласної військової адміністрації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6414E" w:rsidRDefault="00526310">
      <w:pPr>
        <w:spacing w:line="252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Інформація та нормативно-правові акти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щодо захисту викривачів, забезпечення умов для повідомлення інформації про можливі факти корупційних або пов’язаних з корупцією правопорушень, інших порушень  Закону, прав та гарантій захисту викривачів, прав викривачів на конфіденційність та анонімність,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отримання інформації, винагороди та юридичної відповідальності розміщуються на офіційному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вебсайті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обласної державної  адміністрації у розділі «Антикорупційна діяльність».</w:t>
      </w:r>
    </w:p>
    <w:p w:rsidR="0066414E" w:rsidRDefault="0066414E">
      <w:pPr>
        <w:spacing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66414E">
      <w:pPr>
        <w:spacing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66414E">
      <w:pPr>
        <w:spacing w:line="252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52631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Завідувач сектору з питань</w:t>
      </w:r>
    </w:p>
    <w:p w:rsidR="0066414E" w:rsidRDefault="0066414E">
      <w:pPr>
        <w:spacing w:line="45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526310"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запобігання та виявлення корупції </w:t>
      </w:r>
    </w:p>
    <w:p w:rsidR="0066414E" w:rsidRDefault="00526310">
      <w:r>
        <w:rPr>
          <w:rFonts w:ascii="Times New Roman" w:eastAsia="Times New Roman" w:hAnsi="Times New Roman" w:cs="Times New Roman"/>
          <w:b/>
          <w:sz w:val="28"/>
          <w:szCs w:val="28"/>
        </w:rPr>
        <w:t>апарату Івано-Фра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нківської</w:t>
      </w:r>
    </w:p>
    <w:p w:rsidR="0066414E" w:rsidRDefault="00526310">
      <w:pPr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облдержадміністрації                                                        Ольга ХАНЕНКІВ</w:t>
      </w: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526310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Додаток 1</w:t>
      </w:r>
    </w:p>
    <w:p w:rsidR="0066414E" w:rsidRDefault="0066414E">
      <w:pPr>
        <w:spacing w:line="45" w:lineRule="exact"/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526310">
      <w:pPr>
        <w:ind w:left="4678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до Порядку організації в обласній державній (військовій) адміністрації роботи з повідомленнями про корупцію, внесеними викривачами</w:t>
      </w:r>
    </w:p>
    <w:p w:rsidR="0066414E" w:rsidRDefault="0066414E">
      <w:pPr>
        <w:spacing w:line="20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5263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ЗРАЗОК</w:t>
      </w:r>
    </w:p>
    <w:p w:rsidR="0066414E" w:rsidRDefault="0052631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опит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увального листа</w:t>
      </w:r>
    </w:p>
    <w:p w:rsidR="0066414E" w:rsidRDefault="0066414E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190" w:type="dxa"/>
        <w:tblInd w:w="-5" w:type="dxa"/>
        <w:tblLook w:val="0000" w:firstRow="0" w:lastRow="0" w:firstColumn="0" w:lastColumn="0" w:noHBand="0" w:noVBand="0"/>
      </w:tblPr>
      <w:tblGrid>
        <w:gridCol w:w="804"/>
        <w:gridCol w:w="3860"/>
        <w:gridCol w:w="2815"/>
        <w:gridCol w:w="1711"/>
      </w:tblGrid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Питання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ind w:right="-10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Відповідь</w:t>
            </w: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526310">
            <w:pPr>
              <w:spacing w:line="259" w:lineRule="exact"/>
              <w:ind w:left="-108" w:right="-1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Посадова особа, яка прийняла повідомлення</w:t>
            </w:r>
          </w:p>
        </w:tc>
      </w:tr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ind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Ви готові надати нам свою контактну інформацію? Вона не буде передаватись нікому без Вашої прямої згоди. Ви також можете залишитися анонімним; однак розгляд повідомлення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 порушення вимог Закону України «Про запобігання корупції» часто вимагає додаткової інформації. Може виникнути необхідність зв’язатися з Вами, а це можливо тільки якщо ми матимемо Вашу контактну інформацію.</w:t>
            </w:r>
          </w:p>
          <w:p w:rsidR="0066414E" w:rsidRDefault="00526310">
            <w:pPr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Якщо готові, скажіть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будьласка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ваше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прізвище, ім’я,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побатькові</w:t>
            </w:r>
            <w:proofErr w:type="spellEnd"/>
          </w:p>
          <w:p w:rsidR="0066414E" w:rsidRDefault="00526310">
            <w:pPr>
              <w:ind w:right="-57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(за наявності) контактну інформацію, за допомогою якої з Вами можна зв’язатися (номер телефону, електронна адреса).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66414E">
            <w:pPr>
              <w:snapToGrid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 чому  Ви  бачите  прояв  корупції?  Надайте  детальний  опис випадку порушення Закону України «Про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запобігання корупції»</w:t>
            </w: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66414E">
            <w:pPr>
              <w:snapToGrid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стосується випадок: електронних декларацій, конфлікту інтересів, політичної корупції, порушень антикорупційних законів, іншого питання (спробуйте зазначити категорію)?</w:t>
            </w:r>
          </w:p>
          <w:p w:rsidR="0066414E" w:rsidRDefault="00664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66414E">
            <w:pPr>
              <w:snapToGrid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 і в якому регіоні стався випадок (область, місце, 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ідприємство, установа, організація)?</w:t>
            </w:r>
          </w:p>
          <w:p w:rsidR="0066414E" w:rsidRDefault="00664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66414E">
            <w:pPr>
              <w:snapToGrid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 стався випадок (час)?</w:t>
            </w:r>
          </w:p>
          <w:p w:rsidR="0066414E" w:rsidRDefault="00664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66414E">
            <w:pPr>
              <w:snapToGrid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 та яким чином Ви дізналися про цей випадок?</w:t>
            </w:r>
          </w:p>
          <w:p w:rsidR="0066414E" w:rsidRDefault="00664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66414E">
            <w:pPr>
              <w:snapToGrid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знають інші люди про цей випадок? Якщо так, чи можете Ви сказати, хто саме?</w:t>
            </w:r>
          </w:p>
          <w:p w:rsidR="0066414E" w:rsidRDefault="00664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66414E">
            <w:pPr>
              <w:snapToGrid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Чому, на Вашу думку, цей випадок включає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неправомірне або навіть злочинне діяння?</w:t>
            </w:r>
          </w:p>
          <w:p w:rsidR="0066414E" w:rsidRDefault="00664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66414E">
            <w:pPr>
              <w:snapToGrid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траплялися такі випадки в минулому? Якщо так, чи надавалося повідомлення про них раніше, і які заходи були вжиті у зв'язку із ними?</w:t>
            </w:r>
          </w:p>
          <w:p w:rsidR="0066414E" w:rsidRDefault="00664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66414E">
            <w:pPr>
              <w:snapToGrid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 обіцялася  або  надавалася  комусь  перевага  в  описаному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випадку? Якщо так, хто і кому обіцяв чи надавав перевагу? Що було обіцяно, чому і яким чином відповідним особам/організаціям обіцялася або надавалася перевага?</w:t>
            </w:r>
          </w:p>
          <w:p w:rsidR="0066414E" w:rsidRDefault="00664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66414E">
            <w:pPr>
              <w:snapToGrid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Чому Ви вирішили повідомити про цей випадок ?</w:t>
            </w:r>
          </w:p>
          <w:p w:rsidR="0066414E" w:rsidRDefault="00664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66414E">
            <w:pPr>
              <w:snapToGrid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Чи надавалася інформація про зазначений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вище випадок кудись ще? Якщо так, куди/кому?</w:t>
            </w:r>
          </w:p>
          <w:p w:rsidR="0066414E" w:rsidRDefault="00664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66414E">
            <w:pPr>
              <w:snapToGrid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6414E"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52631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Чи бажаєте Ви щось додати?</w:t>
            </w:r>
          </w:p>
          <w:p w:rsidR="0066414E" w:rsidRDefault="006641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6414E" w:rsidRDefault="0066414E">
            <w:pPr>
              <w:snapToGri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6414E" w:rsidRDefault="0066414E">
            <w:pPr>
              <w:snapToGrid w:val="0"/>
              <w:spacing w:line="259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66414E" w:rsidRDefault="0066414E">
      <w:pPr>
        <w:spacing w:line="259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66414E">
      <w:pPr>
        <w:ind w:left="4678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6414E" w:rsidRDefault="0066414E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66414E">
      <w:pPr>
        <w:rPr>
          <w:rFonts w:ascii="Times New Roman" w:eastAsia="Times New Roman" w:hAnsi="Times New Roman" w:cs="Times New Roman"/>
          <w:sz w:val="28"/>
          <w:szCs w:val="28"/>
        </w:rPr>
      </w:pPr>
      <w:bookmarkStart w:id="32" w:name="_GoBack"/>
    </w:p>
    <w:p w:rsidR="0066414E" w:rsidRDefault="006641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6641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6641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6641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6641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6641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6641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6641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66414E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66414E" w:rsidRDefault="0066414E">
      <w:pPr>
        <w:rPr>
          <w:rFonts w:ascii="Times New Roman" w:eastAsia="Times New Roman" w:hAnsi="Times New Roman" w:cs="Times New Roman"/>
          <w:sz w:val="28"/>
          <w:szCs w:val="28"/>
        </w:rPr>
        <w:sectPr w:rsidR="0066414E">
          <w:pgSz w:w="11906" w:h="16838"/>
          <w:pgMar w:top="709" w:right="851" w:bottom="1134" w:left="1985" w:header="0" w:footer="0" w:gutter="0"/>
          <w:cols w:space="720"/>
          <w:formProt w:val="0"/>
          <w:docGrid w:linePitch="360"/>
        </w:sectPr>
      </w:pPr>
    </w:p>
    <w:bookmarkEnd w:id="32"/>
    <w:p w:rsidR="0066414E" w:rsidRDefault="0066414E">
      <w:pPr>
        <w:rPr>
          <w:rFonts w:ascii="Times New Roman" w:eastAsia="Times New Roman" w:hAnsi="Times New Roman" w:cs="Times New Roman"/>
          <w:b/>
          <w:sz w:val="10"/>
          <w:szCs w:val="10"/>
        </w:rPr>
      </w:pPr>
    </w:p>
    <w:sectPr w:rsidR="0066414E">
      <w:pgSz w:w="16838" w:h="11906" w:orient="landscape"/>
      <w:pgMar w:top="1843" w:right="851" w:bottom="709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tiqua;Microsoft YaHe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66414E"/>
    <w:rsid w:val="00526310"/>
    <w:rsid w:val="00664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54344"/>
  <w15:docId w15:val="{FA9CC666-D6F4-4A49-BD8F-5068AEED3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ahoma" w:hAnsi="Times New Roman" w:cs="Lohit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Arial"/>
      <w:sz w:val="20"/>
      <w:szCs w:val="20"/>
      <w:lang w:val="uk-U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  <w:rPr>
      <w:rFonts w:ascii="Symbol" w:hAnsi="Symbol" w:cs="Symbol"/>
    </w:rPr>
  </w:style>
  <w:style w:type="character" w:customStyle="1" w:styleId="WW8Num18z1">
    <w:name w:val="WW8Num18z1"/>
    <w:qFormat/>
    <w:rPr>
      <w:rFonts w:ascii="Courier New" w:hAnsi="Courier New" w:cs="Courier Ne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</w:style>
  <w:style w:type="character" w:customStyle="1" w:styleId="WW8Num20z1">
    <w:name w:val="WW8Num20z1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Symbol" w:hAnsi="Symbol" w:cs="Symbol"/>
    </w:rPr>
  </w:style>
  <w:style w:type="character" w:customStyle="1" w:styleId="WW8Num22z1">
    <w:name w:val="WW8Num22z1"/>
    <w:qFormat/>
    <w:rPr>
      <w:rFonts w:ascii="Courier New" w:hAnsi="Courier New" w:cs="Courier New"/>
    </w:rPr>
  </w:style>
  <w:style w:type="character" w:customStyle="1" w:styleId="WW8Num22z2">
    <w:name w:val="WW8Num22z2"/>
    <w:qFormat/>
    <w:rPr>
      <w:rFonts w:ascii="Wingdings" w:hAnsi="Wingdings" w:cs="Wingdings"/>
    </w:rPr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  <w:sz w:val="26"/>
      <w:szCs w:val="26"/>
    </w:rPr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Times New Roman" w:hAnsi="Times New Roman" w:cs="Times New Roman"/>
      <w:sz w:val="26"/>
      <w:szCs w:val="26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Symbol" w:hAnsi="Symbol" w:cs="Symbol"/>
    </w:rPr>
  </w:style>
  <w:style w:type="character" w:customStyle="1" w:styleId="WW8Num28z1">
    <w:name w:val="WW8Num28z1"/>
    <w:qFormat/>
    <w:rPr>
      <w:rFonts w:ascii="Courier New" w:hAnsi="Courier New" w:cs="Courier New"/>
    </w:rPr>
  </w:style>
  <w:style w:type="character" w:customStyle="1" w:styleId="WW8Num28z2">
    <w:name w:val="WW8Num28z2"/>
    <w:qFormat/>
    <w:rPr>
      <w:rFonts w:ascii="Wingdings" w:hAnsi="Wingdings" w:cs="Wingdings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hAnsi="Times New Roman" w:cs="Times New Roman"/>
      <w:sz w:val="26"/>
      <w:szCs w:val="26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 w:cs="Times New Roman"/>
      <w:sz w:val="26"/>
      <w:szCs w:val="26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hAnsi="Times New Roman" w:cs="Times New Roman"/>
      <w:sz w:val="26"/>
      <w:szCs w:val="26"/>
    </w:rPr>
  </w:style>
  <w:style w:type="character" w:customStyle="1" w:styleId="WW8Num36z1">
    <w:name w:val="WW8Num36z1"/>
    <w:qFormat/>
  </w:style>
  <w:style w:type="character" w:customStyle="1" w:styleId="WW8Num36z2">
    <w:name w:val="WW8Num36z2"/>
    <w:qFormat/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a3">
    <w:name w:val="Основной шрифт абзаца"/>
    <w:qFormat/>
  </w:style>
  <w:style w:type="character" w:customStyle="1" w:styleId="a4">
    <w:name w:val="Текст выноски Знак"/>
    <w:basedOn w:val="a3"/>
    <w:qFormat/>
    <w:rPr>
      <w:rFonts w:ascii="Tahoma" w:eastAsia="Calibri" w:hAnsi="Tahoma" w:cs="Tahoma"/>
      <w:sz w:val="16"/>
      <w:szCs w:val="16"/>
    </w:rPr>
  </w:style>
  <w:style w:type="character" w:customStyle="1" w:styleId="a5">
    <w:name w:val="Верхний колонтитул Знак"/>
    <w:basedOn w:val="a3"/>
    <w:qFormat/>
    <w:rPr>
      <w:rFonts w:ascii="Calibri" w:eastAsia="Calibri" w:hAnsi="Calibri" w:cs="Arial"/>
      <w:sz w:val="20"/>
      <w:szCs w:val="20"/>
    </w:rPr>
  </w:style>
  <w:style w:type="character" w:customStyle="1" w:styleId="a6">
    <w:name w:val="Нижний колонтитул Знак"/>
    <w:basedOn w:val="a3"/>
    <w:qFormat/>
    <w:rPr>
      <w:rFonts w:ascii="Calibri" w:eastAsia="Calibri" w:hAnsi="Calibri" w:cs="Arial"/>
      <w:sz w:val="20"/>
      <w:szCs w:val="20"/>
    </w:rPr>
  </w:style>
  <w:style w:type="character" w:styleId="a7">
    <w:name w:val="Hyperlink"/>
    <w:basedOn w:val="a3"/>
    <w:rPr>
      <w:color w:val="0000FF"/>
      <w:u w:val="single"/>
    </w:rPr>
  </w:style>
  <w:style w:type="character" w:customStyle="1" w:styleId="rvts46">
    <w:name w:val="rvts46"/>
    <w:basedOn w:val="a3"/>
    <w:qFormat/>
  </w:style>
  <w:style w:type="character" w:customStyle="1" w:styleId="rvts37">
    <w:name w:val="rvts37"/>
    <w:basedOn w:val="a3"/>
    <w:qFormat/>
  </w:style>
  <w:style w:type="character" w:customStyle="1" w:styleId="rvts9">
    <w:name w:val="rvts9"/>
    <w:basedOn w:val="a3"/>
    <w:qFormat/>
  </w:style>
  <w:style w:type="character" w:customStyle="1" w:styleId="rvts15">
    <w:name w:val="rvts15"/>
    <w:basedOn w:val="a3"/>
    <w:qFormat/>
  </w:style>
  <w:style w:type="character" w:customStyle="1" w:styleId="StrongEmphasis">
    <w:name w:val="Strong Emphasis"/>
    <w:basedOn w:val="a3"/>
    <w:qFormat/>
    <w:rPr>
      <w:b/>
      <w:bCs/>
    </w:rPr>
  </w:style>
  <w:style w:type="paragraph" w:customStyle="1" w:styleId="Heading">
    <w:name w:val="Heading"/>
    <w:basedOn w:val="a"/>
    <w:next w:val="a8"/>
    <w:qFormat/>
    <w:pPr>
      <w:keepNext/>
      <w:spacing w:before="240" w:after="120"/>
    </w:pPr>
    <w:rPr>
      <w:rFonts w:ascii="Arial" w:eastAsia="Tahoma" w:hAnsi="Arial" w:cs="Lohit Devanagari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a8"/>
    <w:rPr>
      <w:rFonts w:cs="Lohit Devanagari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customStyle="1" w:styleId="ab">
    <w:name w:val="Абзац списка"/>
    <w:basedOn w:val="a"/>
    <w:qFormat/>
    <w:pPr>
      <w:ind w:left="720"/>
      <w:contextualSpacing/>
    </w:pPr>
  </w:style>
  <w:style w:type="paragraph" w:customStyle="1" w:styleId="ac">
    <w:name w:val="Текст выноски"/>
    <w:basedOn w:val="a"/>
    <w:qFormat/>
    <w:rPr>
      <w:rFonts w:ascii="Tahoma" w:hAnsi="Tahoma" w:cs="Tahoma"/>
      <w:sz w:val="16"/>
      <w:szCs w:val="16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986"/>
        <w:tab w:val="right" w:pos="9972"/>
      </w:tabs>
    </w:pPr>
  </w:style>
  <w:style w:type="paragraph" w:styleId="ad">
    <w:name w:val="header"/>
    <w:basedOn w:val="a"/>
  </w:style>
  <w:style w:type="paragraph" w:styleId="ae">
    <w:name w:val="footer"/>
    <w:basedOn w:val="a"/>
  </w:style>
  <w:style w:type="paragraph" w:customStyle="1" w:styleId="rvps2">
    <w:name w:val="rvps2"/>
    <w:basedOn w:val="a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f">
    <w:name w:val="Нормальний текст"/>
    <w:basedOn w:val="a"/>
    <w:qFormat/>
    <w:pPr>
      <w:spacing w:before="120"/>
      <w:ind w:firstLine="567"/>
    </w:pPr>
    <w:rPr>
      <w:rFonts w:ascii="Antiqua;Microsoft YaHei" w:eastAsia="Times New Roman" w:hAnsi="Antiqua;Microsoft YaHei" w:cs="Times New Roman"/>
      <w:sz w:val="26"/>
    </w:rPr>
  </w:style>
  <w:style w:type="paragraph" w:customStyle="1" w:styleId="rvps7">
    <w:name w:val="rvps7"/>
    <w:basedOn w:val="a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4">
    <w:name w:val="rvps14"/>
    <w:basedOn w:val="a"/>
    <w:qFormat/>
    <w:pPr>
      <w:spacing w:before="280" w:after="2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  <w:style w:type="numbering" w:customStyle="1" w:styleId="WW8Num21">
    <w:name w:val="WW8Num21"/>
    <w:qFormat/>
  </w:style>
  <w:style w:type="numbering" w:customStyle="1" w:styleId="WW8Num22">
    <w:name w:val="WW8Num22"/>
    <w:qFormat/>
  </w:style>
  <w:style w:type="numbering" w:customStyle="1" w:styleId="WW8Num23">
    <w:name w:val="WW8Num23"/>
    <w:qFormat/>
  </w:style>
  <w:style w:type="numbering" w:customStyle="1" w:styleId="WW8Num24">
    <w:name w:val="WW8Num24"/>
    <w:qFormat/>
  </w:style>
  <w:style w:type="numbering" w:customStyle="1" w:styleId="WW8Num25">
    <w:name w:val="WW8Num25"/>
    <w:qFormat/>
  </w:style>
  <w:style w:type="numbering" w:customStyle="1" w:styleId="WW8Num26">
    <w:name w:val="WW8Num26"/>
    <w:qFormat/>
  </w:style>
  <w:style w:type="numbering" w:customStyle="1" w:styleId="WW8Num27">
    <w:name w:val="WW8Num27"/>
    <w:qFormat/>
  </w:style>
  <w:style w:type="numbering" w:customStyle="1" w:styleId="WW8Num28">
    <w:name w:val="WW8Num28"/>
    <w:qFormat/>
  </w:style>
  <w:style w:type="numbering" w:customStyle="1" w:styleId="WW8Num29">
    <w:name w:val="WW8Num29"/>
    <w:qFormat/>
  </w:style>
  <w:style w:type="numbering" w:customStyle="1" w:styleId="WW8Num30">
    <w:name w:val="WW8Num30"/>
    <w:qFormat/>
  </w:style>
  <w:style w:type="numbering" w:customStyle="1" w:styleId="WW8Num31">
    <w:name w:val="WW8Num31"/>
    <w:qFormat/>
  </w:style>
  <w:style w:type="numbering" w:customStyle="1" w:styleId="WW8Num32">
    <w:name w:val="WW8Num32"/>
    <w:qFormat/>
  </w:style>
  <w:style w:type="numbering" w:customStyle="1" w:styleId="WW8Num33">
    <w:name w:val="WW8Num33"/>
    <w:qFormat/>
  </w:style>
  <w:style w:type="numbering" w:customStyle="1" w:styleId="WW8Num34">
    <w:name w:val="WW8Num34"/>
    <w:qFormat/>
  </w:style>
  <w:style w:type="numbering" w:customStyle="1" w:styleId="WW8Num35">
    <w:name w:val="WW8Num35"/>
    <w:qFormat/>
  </w:style>
  <w:style w:type="numbering" w:customStyle="1" w:styleId="WW8Num36">
    <w:name w:val="WW8Num36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f.gov.ua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zakon.rada.gov.ua/laws/show/80/94-&#1074;&#1088;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1700-18" TargetMode="External"/><Relationship Id="rId11" Type="http://schemas.openxmlformats.org/officeDocument/2006/relationships/hyperlink" Target="https://ips.ligazakon.net/document/view/t14_1700?ed=2021_04_29" TargetMode="External"/><Relationship Id="rId5" Type="http://schemas.openxmlformats.org/officeDocument/2006/relationships/hyperlink" Target="https://zakon.rada.gov.ua/laws/show/1700-18" TargetMode="External"/><Relationship Id="rId10" Type="http://schemas.openxmlformats.org/officeDocument/2006/relationships/hyperlink" Target="https://ips.ligazakon.net/document/view/t14_1700?ed=2021_04_29" TargetMode="External"/><Relationship Id="rId4" Type="http://schemas.openxmlformats.org/officeDocument/2006/relationships/hyperlink" Target="https://zakon.rada.gov.ua/laws/show/1700-18" TargetMode="External"/><Relationship Id="rId9" Type="http://schemas.openxmlformats.org/officeDocument/2006/relationships/hyperlink" Target="https://ips.ligazakon.net/document/view/t14_1700?ed=2021_04_29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626</TotalTime>
  <Pages>11</Pages>
  <Words>12837</Words>
  <Characters>7318</Characters>
  <Application>Microsoft Office Word</Application>
  <DocSecurity>0</DocSecurity>
  <Lines>60</Lines>
  <Paragraphs>40</Paragraphs>
  <ScaleCrop>false</ScaleCrop>
  <Company/>
  <LinksUpToDate>false</LinksUpToDate>
  <CharactersWithSpaces>20115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UID</cp:lastModifiedBy>
  <cp:revision>2</cp:revision>
  <dcterms:created xsi:type="dcterms:W3CDTF">2025-02-25T06:20:00Z</dcterms:created>
  <dcterms:modified xsi:type="dcterms:W3CDTF">2025-02-25T06:21:00Z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2024-12-11T13:00:00Z</dcterms:created>
  <dc:creator>GIGABYTE</dc:creator>
  <dc:description/>
  <cp:keywords/>
  <dc:language>en-US</dc:language>
  <cp:lastModifiedBy>User</cp:lastModifiedBy>
  <dcterms:modified xsi:type="dcterms:W3CDTF">2025-01-15T12:29:00Z</dcterms:modified>
  <cp:revision>123</cp:revision>
  <dc:subject/>
  <dc:title/>
</cp:coreProperties>
</file>