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</w:r>
      <w:r>
        <w:rPr>
          <w:b/>
          <w:sz w:val="28"/>
          <w:szCs w:val="28"/>
          <w:lang w:val="uk-UA"/>
        </w:rPr>
        <w:t>ЗАТВЕРДЖЕНО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>розпорядження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>Івано-Франківської</w:t>
      </w:r>
    </w:p>
    <w:p>
      <w:pPr>
        <w:pStyle w:val="Normal"/>
        <w:rPr/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обласної військової </w:t>
        <w:tab/>
        <w:tab/>
        <w:tab/>
        <w:tab/>
        <w:tab/>
        <w:tab/>
        <w:tab/>
        <w:tab/>
        <w:tab/>
        <w:t>адміністрації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>від __________ № _____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розподілу додаткової дотації з державного бюджету місцевим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бюджетам на здійснення переданих з державного бюджету видатків                з  утримання закладів освіти та охорони здоров’я на 2025 рік</w:t>
      </w:r>
    </w:p>
    <w:p>
      <w:pPr>
        <w:pStyle w:val="Normal"/>
        <w:spacing w:before="60" w:after="0"/>
        <w:ind w:firstLine="709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before="0" w:after="120"/>
        <w:ind w:firstLine="709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1. Загальні положення</w:t>
      </w:r>
    </w:p>
    <w:p>
      <w:pPr>
        <w:pStyle w:val="Normal"/>
        <w:spacing w:before="0" w:after="120"/>
        <w:jc w:val="both"/>
        <w:rPr/>
      </w:pPr>
      <w:r>
        <w:rPr>
          <w:sz w:val="28"/>
          <w:szCs w:val="28"/>
          <w:lang w:val="uk-UA"/>
        </w:rPr>
        <w:tab/>
        <w:t>1.1.  Порядок розподілу додаткової дотації з державного бюджету місцевим бюджетам на здійснення переданих з державного бюджету видатків з утримання закладів освіти та охорони здоров’я на 2025 рік  (далі  – Порядок) розроблено відповідно до вимог статті 103</w:t>
      </w:r>
      <w:r>
        <w:rPr>
          <w:sz w:val="28"/>
          <w:szCs w:val="28"/>
          <w:vertAlign w:val="superscript"/>
          <w:lang w:val="uk-UA"/>
        </w:rPr>
        <w:t>6</w:t>
      </w:r>
      <w:r>
        <w:rPr>
          <w:sz w:val="28"/>
          <w:szCs w:val="28"/>
          <w:lang w:val="uk-UA"/>
        </w:rPr>
        <w:t xml:space="preserve"> Бюджетного кодексу України.</w:t>
      </w:r>
    </w:p>
    <w:p>
      <w:pPr>
        <w:pStyle w:val="Style11"/>
        <w:shd w:fill="FFFFFF" w:val="clear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Цей порядок визначає механізм розподілу Івано-Франківською обласною державною адміністрацією обсягу додаткової дотації з Державного бюджету України на здійснення переданих з державного бюджету видатків з утримання закладів освіти та охорони здоров’я (далі – додаткова дотація), передбаченого законом про Державний бюджет України для обласного бюджету Івано-Франківської області, між місцевими бюджетами області відповідно до положень Бюджетного кодексу України.</w:t>
      </w:r>
    </w:p>
    <w:p>
      <w:pPr>
        <w:pStyle w:val="Style11"/>
        <w:shd w:fill="FFFFFF" w:val="clear"/>
        <w:spacing w:before="0" w:after="120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2. Розподіл додаткової дотації </w:t>
      </w:r>
    </w:p>
    <w:p>
      <w:pPr>
        <w:pStyle w:val="Style11"/>
        <w:shd w:fill="FFFFFF" w:val="clear"/>
        <w:spacing w:before="0" w:after="12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2.1. Додаткова дотація у 2025 році спрямовується на видатки головних розпорядників коштів місцевих бюджетів, які визначені частиною першою статті 103</w:t>
      </w:r>
      <w:r>
        <w:rPr>
          <w:sz w:val="28"/>
          <w:szCs w:val="28"/>
          <w:vertAlign w:val="superscript"/>
          <w:lang w:val="uk-UA"/>
        </w:rPr>
        <w:t>6</w:t>
      </w:r>
      <w:r>
        <w:rPr>
          <w:sz w:val="28"/>
          <w:szCs w:val="28"/>
          <w:lang w:val="uk-UA"/>
        </w:rPr>
        <w:t xml:space="preserve"> Бюджетного кодексу України (далі </w:t>
      </w:r>
      <w:r>
        <w:rPr>
          <w:color w:val="000000"/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/>
        </w:rPr>
        <w:t xml:space="preserve"> Кодекс), а саме:</w:t>
      </w:r>
    </w:p>
    <w:p>
      <w:pPr>
        <w:pStyle w:val="Style11"/>
        <w:shd w:fill="FFFFFF" w:val="clear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видатки закладів освіти, визначені у частині першій статті 103</w:t>
      </w:r>
      <w:r>
        <w:rPr>
          <w:sz w:val="28"/>
          <w:szCs w:val="28"/>
          <w:vertAlign w:val="superscript"/>
          <w:lang w:val="uk-UA"/>
        </w:rPr>
        <w:t xml:space="preserve">2  </w:t>
      </w:r>
      <w:r>
        <w:rPr>
          <w:sz w:val="28"/>
          <w:szCs w:val="28"/>
          <w:lang w:val="uk-UA"/>
        </w:rPr>
        <w:t>Кодексу (крім видатків на оплату праці з нарахуваннями педагогічних працівників закладів освіти, визначених пунктами 1-4 частини першої статті 103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Кодексу, а також закладів освіти, визначених пунктами  5 і 6 частини першої статті 103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Кодексу, в частині здобуття повної загальної середньої освіти);</w:t>
      </w:r>
    </w:p>
    <w:p>
      <w:pPr>
        <w:pStyle w:val="Style11"/>
        <w:shd w:fill="FFFFFF" w:val="clear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видатки  закладів  охорони  здоров’я,  визначені  у  пункті 3  частини                                                                                                 </w:t>
      </w:r>
    </w:p>
    <w:p>
      <w:pPr>
        <w:pStyle w:val="Style11"/>
        <w:shd w:fill="FFFFFF" w:val="clear"/>
        <w:spacing w:before="0" w:after="120"/>
        <w:jc w:val="both"/>
        <w:rPr/>
      </w:pPr>
      <w:r>
        <w:rPr>
          <w:sz w:val="28"/>
          <w:szCs w:val="28"/>
          <w:lang w:val="uk-UA"/>
        </w:rPr>
        <w:t>першої  статті 89 та  у пункті 3 частини першої статті 90 Кодексу, на оплату комунальних послуг та енергоносіїв.</w:t>
      </w:r>
    </w:p>
    <w:p>
      <w:pPr>
        <w:pStyle w:val="Normal"/>
        <w:shd w:fill="FFFFFF" w:val="clear"/>
        <w:spacing w:before="0" w:after="120"/>
        <w:ind w:firstLine="709"/>
        <w:jc w:val="both"/>
        <w:rPr>
          <w:color w:val="000000"/>
          <w:sz w:val="24"/>
          <w:szCs w:val="24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 xml:space="preserve">Розподіл коштів додаткової дотації погоджується Кабінетом Міністрів України, затверджується рішенням про обласний бюджет на 2025 рік та здійснюється </w:t>
      </w:r>
      <w:r>
        <w:rPr>
          <w:rFonts w:eastAsia="Calibri"/>
          <w:sz w:val="28"/>
          <w:szCs w:val="28"/>
          <w:lang w:val="uk-UA"/>
        </w:rPr>
        <w:t>із урахуванням таких параметрів:</w:t>
      </w:r>
      <w:r>
        <w:rPr>
          <w:color w:val="000000"/>
          <w:sz w:val="24"/>
          <w:szCs w:val="24"/>
          <w:lang w:val="uk-UA" w:eastAsia="uk-UA"/>
        </w:rPr>
        <w:t xml:space="preserve"> </w:t>
      </w:r>
    </w:p>
    <w:p>
      <w:pPr>
        <w:pStyle w:val="Normal"/>
        <w:shd w:fill="FFFFFF" w:val="clear"/>
        <w:spacing w:before="0" w:after="12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1) кількість населення;</w:t>
      </w:r>
    </w:p>
    <w:p>
      <w:pPr>
        <w:pStyle w:val="Normal"/>
        <w:shd w:fill="FFFFFF" w:val="clear"/>
        <w:spacing w:before="0" w:after="120"/>
        <w:ind w:firstLine="709"/>
        <w:jc w:val="both"/>
        <w:rPr/>
      </w:pPr>
      <w:r>
        <w:rPr>
          <w:color w:val="000000"/>
          <w:sz w:val="28"/>
          <w:szCs w:val="28"/>
          <w:lang w:val="uk-UA" w:eastAsia="uk-UA"/>
        </w:rPr>
        <w:t>2)</w:t>
      </w:r>
      <w:r>
        <w:rPr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 w:eastAsia="uk-UA"/>
        </w:rPr>
        <w:t xml:space="preserve">надходження доходів бюджетів територіальних громад області, визначених пунктом 1 частини першої статті 64 цього Кодексу, станом на </w:t>
      </w:r>
      <w:r>
        <w:rPr>
          <w:sz w:val="28"/>
          <w:szCs w:val="28"/>
          <w:lang w:val="uk-UA" w:eastAsia="uk-UA"/>
        </w:rPr>
        <w:t>01 листопада 2024 року;</w:t>
      </w:r>
    </w:p>
    <w:p>
      <w:pPr>
        <w:pStyle w:val="Normal"/>
        <w:shd w:fill="FFFFFF" w:val="clear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 w:eastAsia="uk-UA"/>
        </w:rPr>
        <w:t xml:space="preserve">індекс відносної податкоспроможності бюджету </w:t>
      </w:r>
      <w:r>
        <w:rPr>
          <w:sz w:val="28"/>
          <w:szCs w:val="28"/>
          <w:lang w:val="uk-UA"/>
        </w:rPr>
        <w:t xml:space="preserve">територіальної громади; </w:t>
      </w:r>
    </w:p>
    <w:p>
      <w:pPr>
        <w:pStyle w:val="Normal"/>
        <w:shd w:fill="FFFFFF" w:val="clear"/>
        <w:spacing w:before="120" w:after="120"/>
        <w:ind w:firstLine="709"/>
        <w:jc w:val="both"/>
        <w:rPr/>
      </w:pPr>
      <w:r>
        <w:rPr>
          <w:sz w:val="28"/>
          <w:szCs w:val="28"/>
          <w:lang w:val="uk-UA" w:eastAsia="uk-UA"/>
        </w:rPr>
        <w:t>4)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 w:eastAsia="uk-UA"/>
        </w:rPr>
        <w:t>кількість учнів закладів загальної середньої та професійної (професійно-технічної) освіти.</w:t>
      </w:r>
    </w:p>
    <w:p>
      <w:pPr>
        <w:pStyle w:val="Normal"/>
        <w:shd w:fill="FFFFFF" w:val="clear"/>
        <w:spacing w:before="120" w:after="120"/>
        <w:ind w:firstLine="709"/>
        <w:jc w:val="both"/>
        <w:rPr/>
      </w:pPr>
      <w:r>
        <w:rPr>
          <w:sz w:val="28"/>
          <w:szCs w:val="28"/>
          <w:lang w:val="uk-UA"/>
        </w:rPr>
        <w:tab/>
        <w:t>2.3. Додаткова дотація розподіляється між обласним бюджетом та бюджетами територіальних громад</w:t>
      </w:r>
      <w:r>
        <w:rPr>
          <w:rFonts w:eastAsia="Calibri"/>
          <w:sz w:val="28"/>
          <w:szCs w:val="28"/>
          <w:lang w:val="uk-UA"/>
        </w:rPr>
        <w:t xml:space="preserve"> області у таких пропорціях:</w:t>
      </w:r>
    </w:p>
    <w:p>
      <w:pPr>
        <w:pStyle w:val="Normal"/>
        <w:shd w:fill="FFFFFF" w:val="clear"/>
        <w:spacing w:before="0" w:after="120"/>
        <w:ind w:firstLine="709"/>
        <w:jc w:val="both"/>
        <w:rPr/>
      </w:pPr>
      <w:r>
        <w:rPr>
          <w:rFonts w:eastAsia="Calibri"/>
          <w:b/>
          <w:sz w:val="28"/>
          <w:szCs w:val="28"/>
          <w:lang w:val="uk-UA"/>
        </w:rPr>
        <w:t xml:space="preserve">50 </w:t>
      </w:r>
      <w:r>
        <w:rPr>
          <w:rFonts w:eastAsia="Calibri"/>
          <w:sz w:val="28"/>
          <w:szCs w:val="28"/>
          <w:lang w:val="uk-UA"/>
        </w:rPr>
        <w:t xml:space="preserve">відсотків </w:t>
      </w:r>
      <w:r>
        <w:rPr>
          <w:sz w:val="28"/>
          <w:szCs w:val="28"/>
          <w:lang w:val="uk-UA" w:eastAsia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для обласного бюджету;</w:t>
      </w:r>
    </w:p>
    <w:p>
      <w:pPr>
        <w:pStyle w:val="Normal"/>
        <w:shd w:fill="FFFFFF" w:val="clear"/>
        <w:spacing w:before="0" w:after="120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50</w:t>
      </w:r>
      <w:r>
        <w:rPr>
          <w:rFonts w:eastAsia="Calibri"/>
          <w:sz w:val="28"/>
          <w:szCs w:val="28"/>
          <w:lang w:val="uk-UA"/>
        </w:rPr>
        <w:t xml:space="preserve"> відсотків </w:t>
      </w:r>
      <w:r>
        <w:rPr>
          <w:sz w:val="28"/>
          <w:szCs w:val="28"/>
          <w:lang w:val="uk-UA" w:eastAsia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 для бюджетів територіальних громад.</w:t>
      </w:r>
    </w:p>
    <w:p>
      <w:pPr>
        <w:pStyle w:val="Normal"/>
        <w:shd w:fill="FFFFFF" w:val="clear"/>
        <w:ind w:firstLine="709"/>
        <w:jc w:val="both"/>
        <w:rPr/>
      </w:pPr>
      <w:r>
        <w:rPr>
          <w:sz w:val="28"/>
          <w:szCs w:val="28"/>
          <w:lang w:val="uk-UA" w:eastAsia="uk-UA"/>
        </w:rPr>
        <w:t>2.4. Розподіл додаткової дотації між бюджетами територіальних громад здійснюється у таких пропорціях:</w:t>
      </w:r>
    </w:p>
    <w:p>
      <w:pPr>
        <w:pStyle w:val="Normal"/>
        <w:shd w:fill="FFFFFF" w:val="clear"/>
        <w:ind w:firstLine="709"/>
        <w:jc w:val="both"/>
        <w:rPr/>
      </w:pPr>
      <w:r>
        <w:rPr>
          <w:b/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відсотків обсягу </w:t>
      </w:r>
      <w:r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eastAsia="uk-UA"/>
        </w:rPr>
        <w:t xml:space="preserve"> пропорційно до питомої ваги кількості наявного населення </w:t>
      </w:r>
      <w:r>
        <w:rPr>
          <w:sz w:val="28"/>
          <w:szCs w:val="28"/>
          <w:lang w:val="uk-UA" w:eastAsia="uk-UA"/>
        </w:rPr>
        <w:t>адміністративно-територіальної одиниці</w:t>
      </w:r>
      <w:r>
        <w:rPr>
          <w:sz w:val="28"/>
          <w:szCs w:val="28"/>
          <w:lang w:eastAsia="uk-UA"/>
        </w:rPr>
        <w:t xml:space="preserve"> станом на </w:t>
      </w:r>
      <w:r>
        <w:rPr>
          <w:sz w:val="28"/>
          <w:szCs w:val="28"/>
          <w:lang w:val="uk-UA" w:eastAsia="uk-UA"/>
        </w:rPr>
        <w:t xml:space="preserve">            0</w:t>
      </w:r>
      <w:r>
        <w:rPr>
          <w:sz w:val="28"/>
          <w:szCs w:val="28"/>
          <w:lang w:eastAsia="uk-UA"/>
        </w:rPr>
        <w:t xml:space="preserve">1 січня </w:t>
      </w:r>
      <w:r>
        <w:rPr>
          <w:sz w:val="28"/>
          <w:szCs w:val="28"/>
          <w:lang w:val="uk-UA" w:eastAsia="uk-UA"/>
        </w:rPr>
        <w:t xml:space="preserve">2024 </w:t>
      </w:r>
      <w:r>
        <w:rPr>
          <w:sz w:val="28"/>
          <w:szCs w:val="28"/>
          <w:lang w:eastAsia="uk-UA"/>
        </w:rPr>
        <w:t>року;</w:t>
      </w:r>
    </w:p>
    <w:p>
      <w:pPr>
        <w:pStyle w:val="Normal"/>
        <w:shd w:fill="FFFFFF" w:val="clear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eastAsia="uk-UA"/>
        </w:rPr>
        <w:t>40</w:t>
      </w:r>
      <w:r>
        <w:rPr>
          <w:sz w:val="28"/>
          <w:szCs w:val="28"/>
          <w:lang w:eastAsia="uk-UA"/>
        </w:rPr>
        <w:t xml:space="preserve"> відсотків обсягу </w:t>
      </w:r>
      <w:r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eastAsia="uk-UA"/>
        </w:rPr>
        <w:t xml:space="preserve"> пропорційно до питомої ваги приведеного індексу відносної податкоспроможності </w:t>
      </w:r>
      <w:r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eastAsia="uk-UA"/>
        </w:rPr>
        <w:t xml:space="preserve">юджету </w:t>
      </w:r>
      <w:r>
        <w:rPr>
          <w:sz w:val="28"/>
          <w:szCs w:val="28"/>
          <w:lang w:val="uk-UA"/>
        </w:rPr>
        <w:t xml:space="preserve">територіальної громади, у кого зазначений показник менший або рівний 0,9. </w:t>
      </w:r>
    </w:p>
    <w:p>
      <w:pPr>
        <w:pStyle w:val="Style11"/>
        <w:shd w:fill="FFFFFF" w:val="clear"/>
        <w:tabs>
          <w:tab w:val="clear" w:pos="720"/>
          <w:tab w:val="left" w:pos="1134" w:leader="none"/>
        </w:tabs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50 </w:t>
      </w:r>
      <w:r>
        <w:rPr>
          <w:color w:val="000000"/>
          <w:sz w:val="28"/>
          <w:szCs w:val="28"/>
          <w:lang w:val="uk-UA" w:eastAsia="uk-UA"/>
        </w:rPr>
        <w:t>відсотків обсягу – пропорційно до питомої ваги кількості учнів  закладів загальної середньої освіти станом на 0</w:t>
      </w:r>
      <w:r>
        <w:rPr>
          <w:sz w:val="28"/>
          <w:szCs w:val="28"/>
          <w:lang w:val="uk-UA" w:eastAsia="uk-UA"/>
        </w:rPr>
        <w:t>5 вересня 2024 року</w:t>
      </w:r>
      <w:r>
        <w:rPr>
          <w:color w:val="000000"/>
          <w:sz w:val="28"/>
          <w:szCs w:val="28"/>
          <w:lang w:val="uk-UA" w:eastAsia="uk-UA"/>
        </w:rPr>
        <w:t xml:space="preserve"> та кількості учнів, які здобувають загальну середню освіту у закладах професійної (професійно-технічної) освіти, станом на 0</w:t>
      </w:r>
      <w:r>
        <w:rPr>
          <w:sz w:val="28"/>
          <w:szCs w:val="28"/>
          <w:lang w:val="uk-UA" w:eastAsia="uk-UA"/>
        </w:rPr>
        <w:t>1 січня 2024 року.</w:t>
      </w:r>
    </w:p>
    <w:p>
      <w:pPr>
        <w:pStyle w:val="Style11"/>
        <w:shd w:fill="FFFFFF" w:val="clear"/>
        <w:spacing w:before="0" w:after="120"/>
        <w:jc w:val="both"/>
        <w:rPr/>
      </w:pPr>
      <w:r>
        <w:rPr>
          <w:sz w:val="28"/>
          <w:szCs w:val="28"/>
          <w:lang w:val="uk-UA"/>
        </w:rPr>
        <w:tab/>
        <w:t>2.5. Головним розпорядником коштів додаткової  дотації у частині передачі міжбюджетного трансферту з обласного бюджету до бюджетів територіальних громад є департамент фінансів Івано-Франківської облдержадміністрації.</w:t>
      </w:r>
    </w:p>
    <w:p>
      <w:pPr>
        <w:pStyle w:val="Style11"/>
        <w:shd w:fill="FFFFFF" w:val="clear"/>
        <w:spacing w:before="120" w:after="120"/>
        <w:jc w:val="both"/>
        <w:rPr/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 Перерахування коштів додаткової дотації</w:t>
      </w:r>
    </w:p>
    <w:p>
      <w:pPr>
        <w:pStyle w:val="Style11"/>
        <w:shd w:fill="FFFFFF" w:val="clear"/>
        <w:tabs>
          <w:tab w:val="clear" w:pos="720"/>
          <w:tab w:val="left" w:pos="1134" w:leader="none"/>
        </w:tabs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1. Перерахування сум додаткової дотації обласному бюджету здійснюється головним управлінням Державної казначейської служби України в Івано-Франківській області один раз на місяць згідно з розписом державного бюджету. </w:t>
      </w:r>
    </w:p>
    <w:p>
      <w:pPr>
        <w:pStyle w:val="Style11"/>
        <w:shd w:fill="FFFFFF" w:val="clear"/>
        <w:tabs>
          <w:tab w:val="clear" w:pos="720"/>
          <w:tab w:val="left" w:pos="1134" w:leader="none"/>
        </w:tabs>
        <w:spacing w:before="120" w:after="120"/>
        <w:ind w:firstLine="709"/>
        <w:jc w:val="both"/>
        <w:rPr/>
      </w:pPr>
      <w:r>
        <w:rPr>
          <w:sz w:val="28"/>
          <w:szCs w:val="28"/>
          <w:lang w:val="uk-UA"/>
        </w:rPr>
        <w:t>3.2. Перерахування сум додаткової дотації бюджетам  територіальних громад здійснюється головним управлінням Державної казначейської служби України в Івано-Франківській області у обсягах, встановлених для цих бюджетів у розписі обласного бюджету на 2025 рік (з урахуванням змін).</w:t>
      </w:r>
    </w:p>
    <w:p>
      <w:pPr>
        <w:pStyle w:val="Style11"/>
        <w:shd w:fill="FFFFFF" w:val="clear"/>
        <w:tabs>
          <w:tab w:val="clear" w:pos="720"/>
          <w:tab w:val="left" w:pos="1134" w:leader="none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</w:t>
      </w:r>
    </w:p>
    <w:p>
      <w:pPr>
        <w:pStyle w:val="Normal"/>
        <w:spacing w:lineRule="atLeast" w:line="240"/>
        <w:jc w:val="both"/>
        <w:rPr/>
      </w:pPr>
      <w:r>
        <w:rPr>
          <w:b/>
          <w:sz w:val="28"/>
          <w:szCs w:val="28"/>
          <w:lang w:val="uk-UA"/>
        </w:rPr>
        <w:t xml:space="preserve">фінансів Івано-Франківської </w:t>
      </w:r>
    </w:p>
    <w:p>
      <w:pPr>
        <w:pStyle w:val="Normal"/>
        <w:spacing w:lineRule="atLeast" w:line="240"/>
        <w:jc w:val="both"/>
        <w:rPr>
          <w:b/>
          <w:b/>
          <w:lang w:val="uk-UA"/>
        </w:rPr>
      </w:pPr>
      <w:r>
        <w:rPr>
          <w:b/>
          <w:sz w:val="28"/>
          <w:szCs w:val="28"/>
          <w:lang w:val="uk-UA"/>
        </w:rPr>
        <w:t>облдержадміністрації</w:t>
        <w:tab/>
        <w:t xml:space="preserve">                            </w:t>
        <w:tab/>
        <w:t xml:space="preserve"> </w:t>
        <w:tab/>
        <w:tab/>
        <w:t>Наталія КУЧМА</w:t>
      </w:r>
    </w:p>
    <w:sectPr>
      <w:headerReference w:type="default" r:id="rId2"/>
      <w:headerReference w:type="first" r:id="rId3"/>
      <w:type w:val="nextPage"/>
      <w:pgSz w:w="11906" w:h="16838"/>
      <w:pgMar w:left="1985" w:right="851" w:header="709" w:top="1134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01" w:characterSet="utf-8"/>
    <w:family w:val="swiss"/>
    <w:pitch w:val="variable"/>
  </w:font>
  <w:font w:name="Academy">
    <w:altName w:val="Times New Roman"/>
    <w:charset w:val="00" w:characterSet="windows-1252"/>
    <w:family w:val="auto"/>
    <w:pitch w:val="variable"/>
  </w:font>
  <w:font w:name="Tahoma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  <w:font w:name="Antiqua">
    <w:altName w:val="Courier New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end="360" w:firstLine="360"/>
      <w:rPr>
        <w:lang w:val="uk-UA"/>
      </w:rPr>
    </w:pPr>
    <w:r>
      <w:rPr>
        <w:lang w:val="uk-UA"/>
      </w:rPr>
      <w:tab/>
      <w:t xml:space="preserve"> </w:t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4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851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start="5103" w:end="-199" w:hanging="0"/>
      <w:outlineLvl w:val="2"/>
    </w:pPr>
    <w:rPr>
      <w:sz w:val="28"/>
      <w:lang w:val="uk-U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5387"/>
      <w:outlineLvl w:val="3"/>
    </w:pPr>
    <w:rPr>
      <w:sz w:val="28"/>
      <w:lang w:val="uk-U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120" w:after="0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end"/>
      <w:outlineLvl w:val="6"/>
    </w:pPr>
    <w:rPr>
      <w:sz w:val="28"/>
      <w:lang w:val="uk-UA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firstLine="567"/>
      <w:jc w:val="both"/>
      <w:outlineLvl w:val="7"/>
    </w:pPr>
    <w:rPr>
      <w:sz w:val="28"/>
      <w:u w:val="single"/>
      <w:lang w:val="uk-UA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before="120" w:after="0"/>
      <w:ind w:firstLine="567"/>
      <w:jc w:val="both"/>
      <w:outlineLvl w:val="8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Style5">
    <w:name w:val="Шрифт абзацу за промовчанням"/>
    <w:qFormat/>
    <w:rPr/>
  </w:style>
  <w:style w:type="character" w:styleId="PageNumber">
    <w:name w:val="Page Number"/>
    <w:basedOn w:val="Style5"/>
    <w:rPr/>
  </w:style>
  <w:style w:type="character" w:styleId="Rvts37">
    <w:name w:val="rvts37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6">
    <w:name w:val="Назва об'єкта"/>
    <w:basedOn w:val="Normal"/>
    <w:next w:val="Normal"/>
    <w:qFormat/>
    <w:pPr>
      <w:jc w:val="center"/>
    </w:pPr>
    <w:rPr>
      <w:rFonts w:ascii="Academy;Times New Roman" w:hAnsi="Academy;Times New Roman" w:cs="Academy;Times New Roman"/>
      <w:b/>
      <w:sz w:val="24"/>
      <w:lang w:val="uk-UA"/>
    </w:rPr>
  </w:style>
  <w:style w:type="paragraph" w:styleId="BodyText2">
    <w:name w:val="Body Text 2"/>
    <w:basedOn w:val="Normal"/>
    <w:qFormat/>
    <w:pPr>
      <w:ind w:firstLine="851"/>
      <w:jc w:val="both"/>
    </w:pPr>
    <w:rPr>
      <w:sz w:val="28"/>
      <w:lang w:val="uk-UA"/>
    </w:rPr>
  </w:style>
  <w:style w:type="paragraph" w:styleId="BodyTextIndent2">
    <w:name w:val="Body Text Indent 2"/>
    <w:basedOn w:val="Normal"/>
    <w:qFormat/>
    <w:pPr>
      <w:ind w:end="-199" w:firstLine="851"/>
      <w:jc w:val="both"/>
    </w:pPr>
    <w:rPr>
      <w:sz w:val="28"/>
      <w:lang w:val="uk-UA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3">
    <w:name w:val="Body Text Indent 3"/>
    <w:basedOn w:val="Normal"/>
    <w:qFormat/>
    <w:pPr>
      <w:ind w:end="-199" w:firstLine="851"/>
    </w:pPr>
    <w:rPr>
      <w:sz w:val="28"/>
      <w:lang w:val="uk-UA"/>
    </w:rPr>
  </w:style>
  <w:style w:type="paragraph" w:styleId="BodyText22">
    <w:name w:val="Body Text 22"/>
    <w:basedOn w:val="Normal"/>
    <w:qFormat/>
    <w:pPr>
      <w:ind w:end="-199" w:hanging="0"/>
      <w:jc w:val="both"/>
    </w:pPr>
    <w:rPr>
      <w:sz w:val="28"/>
      <w:lang w:val="uk-UA"/>
    </w:rPr>
  </w:style>
  <w:style w:type="paragraph" w:styleId="BodyText3">
    <w:name w:val="Body Text 3"/>
    <w:basedOn w:val="Normal"/>
    <w:qFormat/>
    <w:pPr/>
    <w:rPr>
      <w:sz w:val="28"/>
      <w:lang w:val="uk-UA"/>
    </w:rPr>
  </w:style>
  <w:style w:type="paragraph" w:styleId="BodyText21">
    <w:name w:val="Body Text 21"/>
    <w:basedOn w:val="Normal"/>
    <w:qFormat/>
    <w:pPr>
      <w:ind w:firstLine="851"/>
      <w:jc w:val="both"/>
    </w:pPr>
    <w:rPr>
      <w:sz w:val="28"/>
      <w:lang w:val="uk-UA"/>
    </w:rPr>
  </w:style>
  <w:style w:type="paragraph" w:styleId="TextBodyIndent">
    <w:name w:val="Body Text Indent"/>
    <w:basedOn w:val="Normal"/>
    <w:pPr>
      <w:spacing w:before="120" w:after="0"/>
      <w:ind w:firstLine="567"/>
      <w:jc w:val="both"/>
    </w:pPr>
    <w:rPr>
      <w:sz w:val="28"/>
      <w:lang w:val="uk-UA"/>
    </w:rPr>
  </w:style>
  <w:style w:type="paragraph" w:styleId="2">
    <w:name w:val="Основний текст з відступом 2"/>
    <w:basedOn w:val="Normal"/>
    <w:qFormat/>
    <w:pPr>
      <w:ind w:firstLine="567"/>
      <w:jc w:val="both"/>
    </w:pPr>
    <w:rPr>
      <w:sz w:val="28"/>
      <w:u w:val="single"/>
      <w:lang w:val="uk-UA"/>
    </w:rPr>
  </w:style>
  <w:style w:type="paragraph" w:styleId="3">
    <w:name w:val="Основний текст з відступом 3"/>
    <w:basedOn w:val="Normal"/>
    <w:qFormat/>
    <w:pPr>
      <w:ind w:firstLine="851"/>
    </w:pPr>
    <w:rPr>
      <w:sz w:val="28"/>
      <w:lang w:val="uk-UA"/>
    </w:rPr>
  </w:style>
  <w:style w:type="paragraph" w:styleId="Style7">
    <w:name w:val="Цитата"/>
    <w:basedOn w:val="Normal"/>
    <w:qFormat/>
    <w:pPr>
      <w:ind w:start="851" w:end="-199" w:hanging="0"/>
      <w:jc w:val="both"/>
    </w:pPr>
    <w:rPr>
      <w:sz w:val="28"/>
      <w:lang w:val="uk-UA"/>
    </w:rPr>
  </w:style>
  <w:style w:type="paragraph" w:styleId="Style8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Style9">
    <w:name w:val="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CharCharCharChar">
    <w:name w:val="Char Знак Знак Char Знак Знак Char Знак Знак Char Знак Знак"/>
    <w:basedOn w:val="Normal"/>
    <w:qFormat/>
    <w:pPr/>
    <w:rPr>
      <w:rFonts w:ascii="Verdana" w:hAnsi="Verdana" w:cs="Verdana"/>
      <w:lang w:val="en-US"/>
    </w:rPr>
  </w:style>
  <w:style w:type="paragraph" w:styleId="Style10">
    <w:name w:val=" Знак Знак Знак"/>
    <w:basedOn w:val="Normal"/>
    <w:qFormat/>
    <w:pPr/>
    <w:rPr>
      <w:rFonts w:ascii="Verdana" w:hAnsi="Verdana" w:cs="Verdana"/>
      <w:lang w:val="en-US"/>
    </w:rPr>
  </w:style>
  <w:style w:type="paragraph" w:styleId="1">
    <w:name w:val=" Знак Знак1 Знак"/>
    <w:basedOn w:val="Normal"/>
    <w:qFormat/>
    <w:pPr/>
    <w:rPr>
      <w:rFonts w:ascii="Verdana" w:hAnsi="Verdana" w:cs="Verdana"/>
      <w:lang w:val="en-US"/>
    </w:rPr>
  </w:style>
  <w:style w:type="paragraph" w:styleId="Style11">
    <w:name w:val="Звичайний (веб)"/>
    <w:basedOn w:val="Normal"/>
    <w:qFormat/>
    <w:pPr>
      <w:spacing w:before="150" w:after="150"/>
    </w:pPr>
    <w:rPr>
      <w:sz w:val="24"/>
      <w:szCs w:val="24"/>
    </w:rPr>
  </w:style>
  <w:style w:type="paragraph" w:styleId="Style12">
    <w:name w:val="Назва документа"/>
    <w:basedOn w:val="Normal"/>
    <w:next w:val="Normal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sz w:val="26"/>
      <w:lang w:val="uk-UA"/>
    </w:rPr>
  </w:style>
  <w:style w:type="paragraph" w:styleId="Style13">
    <w:name w:val="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11">
    <w:name w:val="Знак Знак Знак1"/>
    <w:basedOn w:val="Normal"/>
    <w:qFormat/>
    <w:pPr/>
    <w:rPr>
      <w:rFonts w:ascii="Verdana" w:hAnsi="Verdana" w:cs="Verdana"/>
      <w:lang w:val="en-US"/>
    </w:rPr>
  </w:style>
  <w:style w:type="paragraph" w:styleId="Style14">
    <w:name w:val="Знак Знак Знак"/>
    <w:basedOn w:val="Normal"/>
    <w:qFormat/>
    <w:pPr/>
    <w:rPr>
      <w:rFonts w:ascii="Verdana" w:hAnsi="Verdana" w:cs="Verdana"/>
      <w:lang w:val="en-US"/>
    </w:rPr>
  </w:style>
  <w:style w:type="paragraph" w:styleId="Rvps2">
    <w:name w:val="rvps2"/>
    <w:basedOn w:val="Normal"/>
    <w:qFormat/>
    <w:pPr>
      <w:spacing w:before="100" w:after="100"/>
    </w:pPr>
    <w:rPr>
      <w:rFonts w:eastAsia="Calibri"/>
      <w:sz w:val="24"/>
      <w:szCs w:val="24"/>
      <w:lang w:val="uk-UA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2021-12-06T12:57:00Z</dcterms:created>
  <dc:creator>Орест Остапович Павлiв</dc:creator>
  <dc:description/>
  <cp:keywords/>
  <dc:language>en-US</dc:language>
  <cp:lastModifiedBy>користувач</cp:lastModifiedBy>
  <cp:lastPrinted>2024-11-27T11:36:00Z</cp:lastPrinted>
  <dcterms:modified xsi:type="dcterms:W3CDTF">2024-11-29T07:17:00Z</dcterms:modified>
  <cp:revision>43</cp:revision>
  <dc:subject/>
  <dc:title>Міністерству фінансів</dc:title>
</cp:coreProperties>
</file>