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85" w:rsidRPr="006039DF" w:rsidRDefault="00F21685" w:rsidP="006039DF">
      <w:pPr>
        <w:widowControl w:val="0"/>
        <w:tabs>
          <w:tab w:val="left" w:pos="3402"/>
        </w:tabs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Аналіз регуляторного впливу</w:t>
      </w:r>
    </w:p>
    <w:p w:rsidR="00F21685" w:rsidRPr="006039DF" w:rsidRDefault="00D50AC5" w:rsidP="00B9729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розпорядження </w:t>
      </w:r>
      <w:r w:rsidR="006039DF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Івано-Франківської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обласної військової адміністрації</w:t>
      </w:r>
    </w:p>
    <w:p w:rsidR="00244F96" w:rsidRPr="006039DF" w:rsidRDefault="00D50AC5" w:rsidP="00F2168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«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воді </w:t>
      </w:r>
    </w:p>
    <w:p w:rsidR="00F2168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в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6039DF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Івано-Франківській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області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:rsidR="00D50AC5" w:rsidRPr="00D50AC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50AC5" w:rsidRDefault="006039DF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І.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проблеми</w:t>
      </w:r>
    </w:p>
    <w:p w:rsidR="003611B0" w:rsidRPr="006039DF" w:rsidRDefault="003611B0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03 грудня 2020 року прийнято Закон України «Про внутрішній водний транспорт» № 1054, який, за виключенням окремих норм, набрав чинності 01.01.2022 (далі - Закон).</w:t>
      </w: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 даний час, зазначене питання регулюється місцевими Правилами користування водними об’єктами, які приймаються відповідно до статті 8</w:t>
      </w:r>
      <w:r w:rsidRPr="006039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 w:bidi="uk-UA"/>
        </w:rPr>
        <w:t xml:space="preserve">1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Водного кодексу України.</w:t>
      </w:r>
    </w:p>
    <w:p w:rsidR="00BB10BC" w:rsidRPr="006039DF" w:rsidRDefault="00BB10BC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Частиною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сьомою статті 5 Закону встановлено, що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місцеві</w:t>
      </w:r>
      <w:r w:rsidR="001574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державні адміністрації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</w:t>
      </w:r>
      <w:r w:rsidR="00FD481E"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оді, розміщення плавучих споруд.</w:t>
      </w:r>
    </w:p>
    <w:p w:rsidR="00B61D2A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Таким чином, Законом встановлена необхідність 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Івано-Франківською обласною військовою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адміністрацією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проєкту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акта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, спрямованого на реалізацію Закону.</w:t>
      </w:r>
    </w:p>
    <w:p w:rsidR="00F21685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Тому, на виконання вимог Закону та наказу Міністерства інфраструктури України від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зареєстрованим в Міністерстві юстиції України 12 серпня 2022 року за № 913/38249 підготовлено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Івано-Франківської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обласної військової адміністрації «Про затвердження Правил плавання для малих, спортивних суден і водних мотоциклів та використання засобів для розваг на воді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 Івано-Франківській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області» (далі – Правила).</w:t>
      </w:r>
    </w:p>
    <w:p w:rsidR="00F21685" w:rsidRPr="006039DF" w:rsidRDefault="00F21685" w:rsidP="00F21685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40310" w:rsidRDefault="00F21685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Основні групи, на які проблема справляє вплив:</w:t>
      </w:r>
    </w:p>
    <w:p w:rsidR="00220F1F" w:rsidRDefault="00220F1F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78"/>
        <w:gridCol w:w="1021"/>
        <w:gridCol w:w="1007"/>
      </w:tblGrid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 (підгрупи)</w:t>
            </w:r>
          </w:p>
        </w:tc>
        <w:tc>
          <w:tcPr>
            <w:tcW w:w="1021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Так</w:t>
            </w:r>
          </w:p>
        </w:tc>
        <w:tc>
          <w:tcPr>
            <w:tcW w:w="1007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Ні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Громадяни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Держава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господарювання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A40310">
            <w:pPr>
              <w:pStyle w:val="a5"/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20F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у тому числі 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малого підприємництва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6039DF" w:rsidRDefault="00F21685" w:rsidP="003611B0">
      <w:pPr>
        <w:widowControl w:val="0"/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Зазначена проблема не може бути розв’язана за допомогою:</w:t>
      </w: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ринкових механізмів, оскільки такі питання регулюються виключно нормативно-правовими актами;</w:t>
      </w:r>
    </w:p>
    <w:p w:rsidR="00F21685" w:rsidRPr="006039DF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чинними нормативно-правовими актами, оскільки фактично здійснення </w:t>
      </w: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заходів державного регулювання відбувається з урахуванням та на виконання вимог Закону, а існуючі нормативно-правові акти не враховують та не реалізують положень статей 5 та 34 Закону.</w:t>
      </w:r>
    </w:p>
    <w:p w:rsidR="00F21685" w:rsidRPr="006039DF" w:rsidRDefault="00F21685" w:rsidP="0081107D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Незатвердження </w:t>
      </w:r>
      <w:r w:rsid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равил призведе до неможливості реалізації окремих положень Закону. Також це може негативно вплинути на функціонування малих суден в цілому.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Прийняттям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передбачається виконати такі завдання: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реалізувати положення пункту 3 статті 34 Закону;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розробити Правила, що мають місцевий характер та включають місцеві особливості;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упорядкувати процедуру використання засобів для розваг на воді та процедуру прийняття рішення про відведення таких місць (зон);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сприяти забезпеченню безпеки судноплавства, охорони людського життя та запобігти забрудненню навколишнього природного середовища.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безпеки судноплавства на внутрішніх водних шляхах України, а також реалізація державної політики у сфері управління безпекою судноплавства, плавання для малих, спортивних суден і водних мотоциклів та використання засобів для розваг на воді приведення у відповідність до чинного законодавства є виключною компетенцією Держави.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зв’язку з цим альтернативні (ринкові) механізми досягнення встановлених цілей відсутні.</w:t>
      </w:r>
    </w:p>
    <w:p w:rsidR="00F21685" w:rsidRPr="006039DF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Тому затвердження запропонованого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 найбільш прийнятним способом досягнення встановленої мети.</w:t>
      </w:r>
    </w:p>
    <w:p w:rsid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сприятиме реалізації положень Закону, підвищенню рівня безпеки судноплавства.</w:t>
      </w:r>
    </w:p>
    <w:p w:rsidR="003611B0" w:rsidRP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Default="00F21685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Цілі державного регулювання</w:t>
      </w:r>
    </w:p>
    <w:p w:rsidR="003611B0" w:rsidRPr="006039DF" w:rsidRDefault="003611B0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Основними цілями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реалізація положень Закону в частині затвердження Правил;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забезпеченню безпеки судноплавства внутрішніми водними шляхами, охорони людського життя;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використання засобів для розваг на воді.</w:t>
      </w:r>
    </w:p>
    <w:p w:rsidR="002F4644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разі прийняття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буде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встановлено вимоги до використання на водних об’єктах малих, спортивних суден, водних мотоциклів і засобів для розваг на воді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Івано-Франківській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області.</w:t>
      </w:r>
    </w:p>
    <w:p w:rsidR="00220F1F" w:rsidRDefault="00220F1F" w:rsidP="002F4644">
      <w:pPr>
        <w:widowControl w:val="0"/>
        <w:tabs>
          <w:tab w:val="left" w:pos="108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2F4644" w:rsidRDefault="002F4644" w:rsidP="002F4644">
      <w:pPr>
        <w:widowControl w:val="0"/>
        <w:tabs>
          <w:tab w:val="left" w:pos="1089"/>
        </w:tabs>
        <w:spacing w:after="0" w:line="280" w:lineRule="exact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Визначення та оцінка альтернативних способів досягнення цілей</w:t>
      </w:r>
    </w:p>
    <w:p w:rsidR="002F4644" w:rsidRPr="003611B0" w:rsidRDefault="002F4644" w:rsidP="002F4644">
      <w:pPr>
        <w:widowControl w:val="0"/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ED7D31"/>
          <w:sz w:val="28"/>
          <w:szCs w:val="28"/>
          <w:lang w:eastAsia="uk-UA" w:bidi="uk-UA"/>
        </w:rPr>
      </w:pPr>
    </w:p>
    <w:p w:rsidR="00B97291" w:rsidRDefault="002F4644" w:rsidP="00B97291">
      <w:pPr>
        <w:pStyle w:val="a5"/>
        <w:widowControl w:val="0"/>
        <w:numPr>
          <w:ilvl w:val="0"/>
          <w:numId w:val="8"/>
        </w:numPr>
        <w:spacing w:after="0" w:line="26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220F1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Визначення альтернативних способів</w:t>
      </w:r>
    </w:p>
    <w:p w:rsidR="000A28C0" w:rsidRPr="000A28C0" w:rsidRDefault="000A28C0" w:rsidP="000A28C0">
      <w:pPr>
        <w:widowControl w:val="0"/>
        <w:spacing w:after="0" w:line="260" w:lineRule="exact"/>
        <w:ind w:left="567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B97291" w:rsidTr="00B97291">
        <w:tc>
          <w:tcPr>
            <w:tcW w:w="2405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альтернативи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Опис альтернативи</w:t>
            </w:r>
          </w:p>
        </w:tc>
      </w:tr>
      <w:tr w:rsidR="00B97291" w:rsidTr="00B97291">
        <w:tc>
          <w:tcPr>
            <w:tcW w:w="2405" w:type="dxa"/>
          </w:tcPr>
          <w:p w:rsidR="00B97291" w:rsidRP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Залишення без змін нинішньої ситуації призведе до не виконання вимог чинного законодавства щодо затвердження Правил та не забезпечить чіткого врегулювання питань стосовно використання суден на </w:t>
            </w: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водних об’єктах області.</w:t>
            </w:r>
          </w:p>
        </w:tc>
      </w:tr>
      <w:tr w:rsidR="00B97291" w:rsidTr="00B97291">
        <w:tc>
          <w:tcPr>
            <w:tcW w:w="2405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Альтернатива 2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7217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Сприятиме: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реалізації положень Закону в частині затвердження  Правил;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підвищенню безпеки судноплавства на внутрішніх водних шляхах, охороні людського життя;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безпечному використанню засобів для розваг на воді.</w:t>
            </w:r>
          </w:p>
        </w:tc>
      </w:tr>
    </w:tbl>
    <w:p w:rsidR="00F21685" w:rsidRDefault="00F21685" w:rsidP="000A28C0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Таким чином, Альтернатива 2 є прийнятним і єдиним способом досягнення зазначених цілей.</w:t>
      </w:r>
    </w:p>
    <w:p w:rsidR="000A28C0" w:rsidRPr="006039DF" w:rsidRDefault="000A28C0" w:rsidP="00B97291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23B02" w:rsidRPr="000A28C0" w:rsidRDefault="00F21685" w:rsidP="000A28C0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322" w:lineRule="exact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вибраних аль</w:t>
      </w:r>
      <w:r w:rsidR="00123B02"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тернативних способів досягнення цілей</w:t>
      </w:r>
    </w:p>
    <w:p w:rsidR="00123B02" w:rsidRDefault="00220F1F" w:rsidP="00220F1F">
      <w:pPr>
        <w:widowControl w:val="0"/>
        <w:tabs>
          <w:tab w:val="left" w:pos="567"/>
        </w:tabs>
        <w:spacing w:after="0" w:line="322" w:lineRule="exact"/>
        <w:ind w:right="16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   </w:t>
      </w:r>
      <w:r w:rsidR="00F21685" w:rsidRPr="00123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держави</w:t>
      </w:r>
    </w:p>
    <w:p w:rsidR="006174CB" w:rsidRDefault="006174CB" w:rsidP="00123B02">
      <w:pPr>
        <w:widowControl w:val="0"/>
        <w:tabs>
          <w:tab w:val="left" w:pos="1059"/>
        </w:tabs>
        <w:spacing w:after="0" w:line="322" w:lineRule="exact"/>
        <w:ind w:right="16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657"/>
      </w:tblGrid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 w:hanging="120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Вид альтернативи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Вигоди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290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Витрати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1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Збереження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 xml:space="preserve">ситуації, </w:t>
            </w:r>
          </w:p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яка 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існує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на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цей</w:t>
            </w: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111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Відсутні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3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Залишаються не реалізованими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положення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Закону,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у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частині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затвердження </w:t>
            </w:r>
            <w:r w:rsidRPr="000A28C0">
              <w:rPr>
                <w:rFonts w:ascii="Times New Roman" w:hAnsi="Times New Roman" w:cs="Times New Roman"/>
                <w:sz w:val="28"/>
              </w:rPr>
              <w:t>Правил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  <w:tab w:val="left" w:pos="244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2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 xml:space="preserve">Прийняття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проєкту</w:t>
            </w:r>
            <w:proofErr w:type="spellEnd"/>
            <w:r w:rsidRPr="000A28C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акта</w:t>
            </w:r>
            <w:proofErr w:type="spellEnd"/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A28C0">
              <w:rPr>
                <w:sz w:val="28"/>
                <w:szCs w:val="28"/>
              </w:rPr>
              <w:t>Реалізовані норми пункту 7 статті</w:t>
            </w:r>
            <w:r w:rsidRPr="000A28C0">
              <w:rPr>
                <w:spacing w:val="20"/>
                <w:sz w:val="28"/>
                <w:szCs w:val="28"/>
              </w:rPr>
              <w:t xml:space="preserve"> </w:t>
            </w:r>
            <w:r w:rsidRPr="000A28C0">
              <w:rPr>
                <w:sz w:val="28"/>
                <w:szCs w:val="28"/>
              </w:rPr>
              <w:t>5 та пункту 3 статті 34 Закону</w:t>
            </w:r>
            <w:r w:rsidRPr="000A28C0">
              <w:rPr>
                <w:sz w:val="28"/>
              </w:rPr>
              <w:t>. Нормативно буде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визначено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правові та</w:t>
            </w:r>
            <w:r w:rsidRPr="000A28C0">
              <w:rPr>
                <w:spacing w:val="7"/>
                <w:sz w:val="28"/>
              </w:rPr>
              <w:t xml:space="preserve"> </w:t>
            </w:r>
            <w:r w:rsidRPr="000A28C0">
              <w:rPr>
                <w:sz w:val="28"/>
              </w:rPr>
              <w:t>організаційні</w:t>
            </w:r>
            <w:r w:rsidRPr="000A28C0">
              <w:rPr>
                <w:spacing w:val="74"/>
                <w:sz w:val="28"/>
              </w:rPr>
              <w:t xml:space="preserve"> </w:t>
            </w:r>
            <w:r w:rsidRPr="000A28C0">
              <w:rPr>
                <w:sz w:val="28"/>
              </w:rPr>
              <w:t>засади Правил,</w:t>
            </w:r>
            <w:r w:rsidRPr="000A28C0">
              <w:t xml:space="preserve"> </w:t>
            </w:r>
            <w:r w:rsidRPr="000A28C0">
              <w:rPr>
                <w:sz w:val="28"/>
              </w:rPr>
              <w:t>що мають місцевий характер та включають місцеві особливості. Сприяння</w:t>
            </w:r>
            <w:r w:rsidRPr="000A28C0">
              <w:rPr>
                <w:spacing w:val="36"/>
                <w:sz w:val="28"/>
              </w:rPr>
              <w:t xml:space="preserve"> </w:t>
            </w:r>
            <w:r w:rsidRPr="000A28C0">
              <w:rPr>
                <w:sz w:val="28"/>
                <w:szCs w:val="28"/>
              </w:rPr>
              <w:t>за</w:t>
            </w:r>
            <w:r w:rsidRPr="000A28C0">
              <w:rPr>
                <w:sz w:val="28"/>
              </w:rPr>
              <w:t xml:space="preserve">безпеченню безпеки </w:t>
            </w:r>
            <w:r w:rsidRPr="000A28C0">
              <w:rPr>
                <w:spacing w:val="-1"/>
                <w:sz w:val="28"/>
              </w:rPr>
              <w:t>судноплавства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внутрішніми водними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шляхами, </w:t>
            </w:r>
            <w:r w:rsidRPr="000A28C0">
              <w:rPr>
                <w:spacing w:val="-1"/>
                <w:sz w:val="28"/>
              </w:rPr>
              <w:t>охорони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людського життя </w:t>
            </w:r>
            <w:r w:rsidRPr="000A28C0">
              <w:rPr>
                <w:spacing w:val="-2"/>
                <w:sz w:val="28"/>
              </w:rPr>
              <w:t>та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природного</w:t>
            </w:r>
            <w:r w:rsidRPr="000A28C0">
              <w:rPr>
                <w:spacing w:val="1"/>
                <w:sz w:val="28"/>
              </w:rPr>
              <w:t xml:space="preserve"> </w:t>
            </w:r>
            <w:r w:rsidRPr="000A28C0">
              <w:rPr>
                <w:sz w:val="28"/>
              </w:rPr>
              <w:t>середовища.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TableParagraph"/>
              <w:ind w:left="1" w:right="13"/>
              <w:jc w:val="both"/>
              <w:rPr>
                <w:sz w:val="28"/>
              </w:rPr>
            </w:pPr>
            <w:r w:rsidRPr="000A28C0">
              <w:rPr>
                <w:sz w:val="28"/>
              </w:rPr>
              <w:t>Витрат</w:t>
            </w:r>
            <w:r w:rsidR="00CD2260">
              <w:rPr>
                <w:sz w:val="28"/>
              </w:rPr>
              <w:t>и</w:t>
            </w:r>
            <w:r w:rsidRPr="000A28C0">
              <w:rPr>
                <w:sz w:val="28"/>
              </w:rPr>
              <w:t xml:space="preserve"> з державного</w:t>
            </w:r>
            <w:r w:rsidR="00CD2260">
              <w:rPr>
                <w:sz w:val="28"/>
              </w:rPr>
              <w:t xml:space="preserve"> та місцевого бюджетів не передбачаю</w:t>
            </w:r>
            <w:r w:rsidRPr="000A28C0">
              <w:rPr>
                <w:sz w:val="28"/>
              </w:rPr>
              <w:t>ться.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1" w:right="1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260" w:rsidRDefault="00CD2260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</w:pPr>
    </w:p>
    <w:p w:rsidR="00F21685" w:rsidRPr="006039DF" w:rsidRDefault="00F21685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суб’єктів господарювання</w:t>
      </w:r>
    </w:p>
    <w:p w:rsidR="00F21685" w:rsidRPr="006039DF" w:rsidRDefault="00B3608F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 дію регулювання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підпадають всі громадяни та суб’єкти господарювання, у яких є зареєстровані малі судна.</w:t>
      </w:r>
    </w:p>
    <w:p w:rsidR="00CD2260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Кількість зареєстрованих суден 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 Івано-Франківській області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становить 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близько</w:t>
      </w:r>
      <w:r w:rsidR="00477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C75C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15</w:t>
      </w:r>
      <w:r w:rsidR="00F7601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одиниць.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Розрахувати кількість суб’єктів господарю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вання, які будуть користуватися Правилами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наразі неможливо. </w:t>
      </w:r>
    </w:p>
    <w:p w:rsidR="00D326D2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суб’єктів господарювання, що підпадають під дію регулювання, в розрізі великих, середніх, малих та мікропідприємств визначити неможливо, у зв’язку із відсутністю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таких вихідних даних, а </w:t>
      </w:r>
      <w:proofErr w:type="spellStart"/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однаково впливає на всіх громадян та суб’єктів господарювання незалежно від форми власності.</w:t>
      </w:r>
    </w:p>
    <w:p w:rsidR="003C5B1A" w:rsidRDefault="003C5B1A" w:rsidP="00786BAC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4" w:type="dxa"/>
        <w:tblLook w:val="04A0" w:firstRow="1" w:lastRow="0" w:firstColumn="1" w:lastColumn="0" w:noHBand="0" w:noVBand="1"/>
      </w:tblPr>
      <w:tblGrid>
        <w:gridCol w:w="2405"/>
        <w:gridCol w:w="2552"/>
        <w:gridCol w:w="4647"/>
      </w:tblGrid>
      <w:tr w:rsidR="00D326D2" w:rsidTr="004B2FE6">
        <w:trPr>
          <w:trHeight w:val="314"/>
        </w:trPr>
        <w:tc>
          <w:tcPr>
            <w:tcW w:w="2405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</w:t>
            </w:r>
          </w:p>
        </w:tc>
        <w:tc>
          <w:tcPr>
            <w:tcW w:w="2552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Вигоди</w:t>
            </w:r>
          </w:p>
        </w:tc>
        <w:tc>
          <w:tcPr>
            <w:tcW w:w="4647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</w:t>
            </w:r>
          </w:p>
        </w:tc>
      </w:tr>
      <w:tr w:rsidR="00D326D2" w:rsidTr="004B2FE6">
        <w:trPr>
          <w:trHeight w:val="1607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552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ідсутні.</w:t>
            </w:r>
          </w:p>
        </w:tc>
        <w:tc>
          <w:tcPr>
            <w:tcW w:w="4647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відсутні.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Законодавчо чітко не врегульовано питання використання засобів для розваг на воді</w:t>
            </w:r>
            <w:r w:rsidR="0064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  <w:tr w:rsidR="00D326D2" w:rsidTr="004B2FE6">
        <w:trPr>
          <w:trHeight w:val="4824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2.</w:t>
            </w:r>
          </w:p>
          <w:p w:rsidR="00094445" w:rsidRDefault="00A914DE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проє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D326D2" w:rsidRDefault="0064746C" w:rsidP="004B2FE6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Нормативн</w:t>
            </w:r>
            <w:r w:rsidR="004B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 буде визначено Правила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врегульовано процедуру відведення місць (зон) для розваг на воді.</w:t>
            </w:r>
          </w:p>
        </w:tc>
        <w:tc>
          <w:tcPr>
            <w:tcW w:w="4647" w:type="dxa"/>
          </w:tcPr>
          <w:p w:rsidR="00A84FCD" w:rsidRPr="00A84FCD" w:rsidRDefault="00884D09" w:rsidP="00A84FCD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М</w:t>
            </w:r>
            <w:r w:rsid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атеріальних витрат </w:t>
            </w:r>
            <w:proofErr w:type="spellStart"/>
            <w:r w:rsid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 w:rsidR="00A84FCD" w:rsidRP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 w:rsid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єктів</w:t>
            </w:r>
            <w:proofErr w:type="spellEnd"/>
            <w:r w:rsid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господарювання реалізація положень регуляторного </w:t>
            </w:r>
            <w:proofErr w:type="spellStart"/>
            <w:r w:rsid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A84F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не потребує.</w:t>
            </w:r>
          </w:p>
        </w:tc>
      </w:tr>
    </w:tbl>
    <w:p w:rsidR="00786BAC" w:rsidRDefault="008F349F" w:rsidP="009C6C59">
      <w:pPr>
        <w:tabs>
          <w:tab w:val="left" w:pos="284"/>
        </w:tabs>
        <w:spacing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  <w:tab/>
      </w:r>
    </w:p>
    <w:tbl>
      <w:tblPr>
        <w:tblStyle w:val="a6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624"/>
        <w:gridCol w:w="6998"/>
      </w:tblGrid>
      <w:tr w:rsidR="0070472D" w:rsidTr="00BF1F47">
        <w:trPr>
          <w:trHeight w:val="647"/>
        </w:trPr>
        <w:tc>
          <w:tcPr>
            <w:tcW w:w="2624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Сумарні витрати за альтернативами</w:t>
            </w:r>
          </w:p>
        </w:tc>
        <w:tc>
          <w:tcPr>
            <w:tcW w:w="6998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 витрат, гривень</w:t>
            </w:r>
          </w:p>
        </w:tc>
      </w:tr>
      <w:tr w:rsidR="0070472D" w:rsidTr="00BF1F47">
        <w:trPr>
          <w:trHeight w:val="1279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6998" w:type="dxa"/>
          </w:tcPr>
          <w:p w:rsidR="0070472D" w:rsidRP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Витрати 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відсутні</w:t>
            </w:r>
            <w:r w:rsidR="003C5B1A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.</w:t>
            </w:r>
          </w:p>
        </w:tc>
      </w:tr>
      <w:tr w:rsidR="0070472D" w:rsidTr="00BF1F47">
        <w:trPr>
          <w:trHeight w:val="2573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70472D" w:rsidRDefault="00A914DE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6998" w:type="dxa"/>
          </w:tcPr>
          <w:p w:rsidR="00106615" w:rsidRPr="009D4941" w:rsidRDefault="009D4941" w:rsidP="009D4941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Реалізація</w:t>
            </w:r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положень регуляторного </w:t>
            </w:r>
            <w:proofErr w:type="spellStart"/>
            <w:r w:rsidR="00BF3460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BF3460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="00106615" w:rsidRPr="0010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матеріальних витрат </w:t>
            </w:r>
            <w:proofErr w:type="spellStart"/>
            <w:r w:rsidR="00106615" w:rsidRPr="0010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 w:rsidR="00106615" w:rsidRPr="0010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 w:rsidR="00106615" w:rsidRPr="0010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єктів</w:t>
            </w:r>
            <w:proofErr w:type="spellEnd"/>
            <w:r w:rsidR="00106615" w:rsidRPr="0010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господарювання </w:t>
            </w:r>
            <w:r w:rsidR="00106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не потребуватиме</w:t>
            </w:r>
            <w:r w:rsidR="003C5B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</w:tbl>
    <w:p w:rsidR="002F3D50" w:rsidRDefault="002F3D50" w:rsidP="00786BAC">
      <w:pPr>
        <w:widowControl w:val="0"/>
        <w:tabs>
          <w:tab w:val="left" w:pos="1134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86BAC" w:rsidRPr="006039DF" w:rsidRDefault="00786BAC" w:rsidP="00C21C6C">
      <w:pPr>
        <w:widowControl w:val="0"/>
        <w:tabs>
          <w:tab w:val="left" w:pos="1134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IV.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Вибір найбільш оптимального альтернативного способу</w:t>
      </w:r>
      <w:r w:rsidR="00C2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досягнення цілей</w:t>
      </w:r>
    </w:p>
    <w:p w:rsidR="00786BAC" w:rsidRDefault="00786BAC" w:rsidP="00786BAC">
      <w:pPr>
        <w:tabs>
          <w:tab w:val="left" w:pos="709"/>
        </w:tabs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17" w:type="dxa"/>
        <w:tblLook w:val="04A0" w:firstRow="1" w:lastRow="0" w:firstColumn="1" w:lastColumn="0" w:noHBand="0" w:noVBand="1"/>
      </w:tblPr>
      <w:tblGrid>
        <w:gridCol w:w="3498"/>
        <w:gridCol w:w="2913"/>
        <w:gridCol w:w="3206"/>
      </w:tblGrid>
      <w:tr w:rsidR="00786BAC" w:rsidTr="00BF1F47">
        <w:trPr>
          <w:trHeight w:val="1044"/>
        </w:trPr>
        <w:tc>
          <w:tcPr>
            <w:tcW w:w="3498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Рейтинг результативності (досягнення цілей під  час вирішення проблеми)</w:t>
            </w:r>
          </w:p>
        </w:tc>
        <w:tc>
          <w:tcPr>
            <w:tcW w:w="2913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 результативності (за чотирибальною системою оцінки)</w:t>
            </w:r>
          </w:p>
        </w:tc>
        <w:tc>
          <w:tcPr>
            <w:tcW w:w="3206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Коментарі що</w:t>
            </w:r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до присвоєння відповідного </w:t>
            </w:r>
            <w:proofErr w:type="spellStart"/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бала</w:t>
            </w:r>
            <w:proofErr w:type="spellEnd"/>
          </w:p>
        </w:tc>
      </w:tr>
      <w:tr w:rsidR="00786BAC" w:rsidTr="00BF1F47">
        <w:trPr>
          <w:trHeight w:val="1746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8B2791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913" w:type="dxa"/>
          </w:tcPr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Цілі 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не можуть бути досягнуті (проблема залишиться не вирішеною)</w:t>
            </w:r>
          </w:p>
        </w:tc>
      </w:tr>
      <w:tr w:rsidR="00786BAC" w:rsidTr="00BF1F47">
        <w:trPr>
          <w:trHeight w:val="2089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8B2791" w:rsidRDefault="008B2791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913" w:type="dxa"/>
          </w:tcPr>
          <w:p w:rsidR="008B2791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забезпечить повною мірою досягнення поставлених цілей (проблема існувати не буде)</w:t>
            </w:r>
          </w:p>
        </w:tc>
      </w:tr>
    </w:tbl>
    <w:p w:rsidR="00786BAC" w:rsidRDefault="00786BAC" w:rsidP="00786BAC">
      <w:pPr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2295"/>
        <w:gridCol w:w="2095"/>
        <w:gridCol w:w="2409"/>
        <w:gridCol w:w="2840"/>
      </w:tblGrid>
      <w:tr w:rsidR="00884D09" w:rsidTr="00884D09">
        <w:tc>
          <w:tcPr>
            <w:tcW w:w="2295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</w:t>
            </w:r>
          </w:p>
        </w:tc>
        <w:tc>
          <w:tcPr>
            <w:tcW w:w="2095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Вигоди (підсумок)</w:t>
            </w:r>
          </w:p>
        </w:tc>
        <w:tc>
          <w:tcPr>
            <w:tcW w:w="2409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Витрати (підсумок)</w:t>
            </w:r>
          </w:p>
        </w:tc>
        <w:tc>
          <w:tcPr>
            <w:tcW w:w="2840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Обгрунтування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відповідного місця альтернативи у рейтингу</w:t>
            </w:r>
          </w:p>
        </w:tc>
      </w:tr>
      <w:tr w:rsidR="00884D09" w:rsidTr="00884D09">
        <w:tc>
          <w:tcPr>
            <w:tcW w:w="2295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095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Відсутні</w:t>
            </w:r>
          </w:p>
        </w:tc>
        <w:tc>
          <w:tcPr>
            <w:tcW w:w="2409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Станом на сьогодні витрати відсутні</w:t>
            </w:r>
          </w:p>
        </w:tc>
        <w:tc>
          <w:tcPr>
            <w:tcW w:w="2840" w:type="dxa"/>
          </w:tcPr>
          <w:p w:rsidR="008B2791" w:rsidRP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У разі залишення нинішньої ситуації без змін проблему, наведену у розділі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, не буде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розв</w:t>
            </w:r>
            <w:proofErr w:type="spellEnd"/>
            <w:r w:rsidRPr="004D2552">
              <w:rPr>
                <w:rFonts w:ascii="Times New Roman" w:eastAsia="Microsoft Sans Serif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язано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, що не забезпечить досягнення поставлених цілей</w:t>
            </w:r>
          </w:p>
        </w:tc>
      </w:tr>
      <w:tr w:rsidR="00884D09" w:rsidTr="00884D09">
        <w:tc>
          <w:tcPr>
            <w:tcW w:w="2295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4D2552" w:rsidRDefault="004D2552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095" w:type="dxa"/>
          </w:tcPr>
          <w:p w:rsidR="008B2791" w:rsidRPr="004D7CE1" w:rsidRDefault="00A914DE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</w:t>
            </w:r>
            <w:r w:rsidR="00D916B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чить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досягнення встановлених у розділі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II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цілей. Нормативно буде визначено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Правила,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врегульовано процедуру відведення місць (зон) для розваг на воді.</w:t>
            </w:r>
          </w:p>
        </w:tc>
        <w:tc>
          <w:tcPr>
            <w:tcW w:w="2409" w:type="dxa"/>
          </w:tcPr>
          <w:p w:rsidR="00884D09" w:rsidRDefault="009D4941" w:rsidP="00884D09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Реалізація</w:t>
            </w:r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положень регуляторного </w:t>
            </w:r>
            <w:proofErr w:type="spellStart"/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матеріальних витрат</w:t>
            </w:r>
            <w:r w:rsidR="00884D09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не передбачає.</w:t>
            </w:r>
          </w:p>
          <w:p w:rsidR="00F8565D" w:rsidRPr="00F8565D" w:rsidRDefault="00F8565D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840" w:type="dxa"/>
          </w:tcPr>
          <w:p w:rsidR="008B2791" w:rsidRDefault="00246E96" w:rsidP="00246E96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забезпечить удосконалення державної політики у сфері внутрішнього водного транспорту, реалізацію положень Закону в частині плавання для малих, спортивних суден і водних мотоциклів та використання засобів для розваг на воді.</w:t>
            </w:r>
          </w:p>
        </w:tc>
      </w:tr>
    </w:tbl>
    <w:p w:rsidR="008855C1" w:rsidRPr="00C21C6C" w:rsidRDefault="008855C1" w:rsidP="00C21C6C">
      <w:pPr>
        <w:widowControl w:val="0"/>
        <w:tabs>
          <w:tab w:val="left" w:pos="1623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:rsidR="002F3D50" w:rsidRDefault="002F3D50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3C5B1A" w:rsidP="009706A2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 xml:space="preserve">V. 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Механізми та заходи, які забезпечать розв’язання визначеної</w:t>
      </w:r>
    </w:p>
    <w:p w:rsidR="00F21685" w:rsidRPr="006039DF" w:rsidRDefault="00F21685" w:rsidP="006A5758">
      <w:pPr>
        <w:widowControl w:val="0"/>
        <w:spacing w:after="304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проблеми</w:t>
      </w:r>
    </w:p>
    <w:p w:rsidR="00F21685" w:rsidRPr="006039DF" w:rsidRDefault="00F21685" w:rsidP="003C5B1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Механізмом, який забезпечить розв’язання визначеної проблеми з боку держави є прийняття запропонованого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3C5B1A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Заходами, які забезпечать розв’язання визначеної проблеми з боку держави є забезпечення інформування громадян та суб’єктів господарювання про вимоги регуляторного акту шляхом оприлюднення його на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офіційному веб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сайті 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 адміністрації.</w:t>
      </w:r>
    </w:p>
    <w:p w:rsidR="00F21685" w:rsidRPr="006039DF" w:rsidRDefault="001B0A44" w:rsidP="009D69F7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ої адміністрації </w:t>
      </w:r>
      <w:r w:rsidR="00E0605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</w:t>
      </w:r>
      <w:r w:rsidR="003C5B1A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воді в Івано-Франківській 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області</w:t>
      </w:r>
      <w:r w:rsidR="00E06050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»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забезпечить удосконалення державної політики у сфері внутрішнього водного транспорту, реалізацію положень Закону в частині приведення процедури плавання для малих, спортивних суден і водних мотоциклів та використання засобів для розваг на воді, підвищення рівня безпеки судноплавства внутрішніми водним шляхами.</w:t>
      </w: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Негативний вплив зовнішніх факторів на дію цього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відсутній.</w:t>
      </w:r>
    </w:p>
    <w:p w:rsidR="00F21685" w:rsidRPr="006039DF" w:rsidRDefault="00F21685" w:rsidP="00AC3828">
      <w:pPr>
        <w:widowControl w:val="0"/>
        <w:spacing w:after="293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положень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не потребує матері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альних та фінансових витрат із д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ержавного 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 місцевого бюджетів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6A5758">
      <w:pPr>
        <w:widowControl w:val="0"/>
        <w:tabs>
          <w:tab w:val="left" w:pos="1134"/>
        </w:tabs>
        <w:spacing w:after="0" w:line="326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VI.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 xml:space="preserve">Оцінка виконання вимог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залежно від ресурсів, якими розпоряджаються органи виконавчої влади чи органи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місцевого самоврядування, фізичні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та юридичні особи, які повинні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проваджувати або виконувати ці вимоги</w:t>
      </w:r>
    </w:p>
    <w:p w:rsidR="006A5758" w:rsidRDefault="006A5758" w:rsidP="00F21685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впровадження та виконання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даного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органи виконавчої влади не будуть нести додаткових витрат.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не змінюються  та наводяться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 розділі III відповідно до додатку 2 до Методики проведення аналізу впливу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Додаток 3 до Методики проведення аналізу впливу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не розроблявся у зв’язку із відсутністю витрат на виконання вимог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органів виконавчої влади чи органів місцевого самоврядування.</w:t>
      </w:r>
    </w:p>
    <w:p w:rsidR="006A5758" w:rsidRDefault="00F21685" w:rsidP="00AC3828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Тест малого підприємництва (М-Тест) відповідно до Додатку 4 до Методики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не проводився у зв’язку із неможливістю визначення кількості суб’єктів господарювання, що підпадають під дію регулювання, в розрізі великих, середніх, малих та мікропідприємств, з огляду на відсутність таких вихідних даних, а проблема однаково впливає на всіх громадян та суб’єктів господарювання незалежно від форми власності та рівня доходу.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6A5758" w:rsidP="006A5758">
      <w:pPr>
        <w:widowControl w:val="0"/>
        <w:tabs>
          <w:tab w:val="left" w:pos="1376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VII. 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Обґрунтування запропонованого строку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1B0A44" w:rsidP="006A5758">
      <w:pPr>
        <w:widowControl w:val="0"/>
        <w:spacing w:after="333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Оскільки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розроблено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виконання вимог Закону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його дія обмежується дією Закону та не обмежуєт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ься у часі іншими чинниками, що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надасть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можливість розв’язати проблему та досягти цілей державного регулювання.</w:t>
      </w:r>
    </w:p>
    <w:p w:rsidR="006A5758" w:rsidRPr="006039DF" w:rsidRDefault="006A5758" w:rsidP="006A5758">
      <w:pPr>
        <w:widowControl w:val="0"/>
        <w:tabs>
          <w:tab w:val="left" w:pos="1418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VIII.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показників 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6A5758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Прогнозні значення показників результативності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мають бути виражені у кількісній формі. Однак, у разі неможливості обчислення розмірів тієї чи іншої вигоди, результативність може бути виражена в текстовій формі, грошових одиницях чи процентному співвідношенні.</w:t>
      </w:r>
    </w:p>
    <w:p w:rsidR="006A5758" w:rsidRPr="006039DF" w:rsidRDefault="00C305CF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Після набуття чинності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ктом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акта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 результативність визначатиметься такими показниками:</w:t>
      </w:r>
    </w:p>
    <w:p w:rsidR="006A5758" w:rsidRPr="006039DF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 надходження не передбачаються.</w:t>
      </w:r>
    </w:p>
    <w:p w:rsidR="006A5758" w:rsidRPr="006039DF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Кількість суб’єктів господарювання або фізичних осіб, на яких поширюватиметься дія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884D09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Рівень поінформованості суб’єктів господарювання та/або фізичних осіб з основних положень акту - середній. З цією метою регуляторний акт оприлюднено на офіційному веб-сайті 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C30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 адміністрації.</w:t>
      </w:r>
    </w:p>
    <w:p w:rsidR="006A5758" w:rsidRPr="006039DF" w:rsidRDefault="00884D09" w:rsidP="00AC3828">
      <w:pPr>
        <w:widowControl w:val="0"/>
        <w:tabs>
          <w:tab w:val="left" w:pos="92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Реалізація положень Закону в частині затвердження </w:t>
      </w:r>
      <w:r w:rsidR="00C30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равил.</w:t>
      </w:r>
    </w:p>
    <w:p w:rsidR="006A5758" w:rsidRPr="006039DF" w:rsidRDefault="00884D09" w:rsidP="00AC3828">
      <w:pPr>
        <w:widowControl w:val="0"/>
        <w:tabs>
          <w:tab w:val="left" w:pos="96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>Підвищення рівня безпеки судноплавства внутрішніми водним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и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шляхами.</w:t>
      </w:r>
    </w:p>
    <w:p w:rsidR="006A5758" w:rsidRPr="006039DF" w:rsidRDefault="00884D09" w:rsidP="00AC3828">
      <w:pPr>
        <w:widowControl w:val="0"/>
        <w:tabs>
          <w:tab w:val="left" w:pos="92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Кількість звернень/скарг від громадян та суб’єктів господарювання, пов’язаних із дією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6A5758" w:rsidP="006A5758">
      <w:pPr>
        <w:widowControl w:val="0"/>
        <w:tabs>
          <w:tab w:val="left" w:pos="91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AC3828" w:rsidP="00AC3828">
      <w:pPr>
        <w:widowControl w:val="0"/>
        <w:tabs>
          <w:tab w:val="left" w:pos="1320"/>
        </w:tabs>
        <w:spacing w:after="304" w:line="322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IX. </w:t>
      </w:r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6A5758" w:rsidP="00CC2D72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Стосовно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здійснюватися базове, повторне та періодичне статистичне відстеження його результативності.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буде здійснювати </w:t>
      </w:r>
      <w:r w:rsidR="00B466B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департамент економічного розвитку, промисловості та інфраструктури Івано-Франківської обласної військової адміністрації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 показниками результативності, зазначеними у розділі VIII цього аналізу регуляторного впливу.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Базове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здійснюватись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через один рік після набрання чинності актом. Повторне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здійснюватись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через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два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роки з дня набрання чинності цим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актом.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Періодичні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будуть здійснюватися раз на кожні три роки, починаючи з дня закінчення заходів з повторного відстеження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CC2D72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Установлені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кількісні значення показників результативності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порівнюватимуться із зазначенням аналогічних показників, що встановлені під час повторного відстеження.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B466B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Директор 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департаменту економічного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розвитку, промисловості та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інфраструктури Івано-Франківської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обласної </w:t>
      </w:r>
      <w:r w:rsidR="009706A2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державної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адміністрації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  <w:t>Сергій ПОДОШВА</w:t>
      </w: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800396">
        <w:rPr>
          <w:sz w:val="24"/>
          <w:szCs w:val="24"/>
        </w:rPr>
        <w:t>Додаток 2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00396">
        <w:rPr>
          <w:sz w:val="24"/>
          <w:szCs w:val="24"/>
        </w:rPr>
        <w:t xml:space="preserve">До Методики проведення аналізу 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00396">
        <w:rPr>
          <w:sz w:val="24"/>
          <w:szCs w:val="24"/>
        </w:rPr>
        <w:t xml:space="preserve">впливу регуляторного </w:t>
      </w:r>
      <w:proofErr w:type="spellStart"/>
      <w:r w:rsidRPr="00800396">
        <w:rPr>
          <w:sz w:val="24"/>
          <w:szCs w:val="24"/>
        </w:rPr>
        <w:t>акта</w:t>
      </w:r>
      <w:proofErr w:type="spellEnd"/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C2D72" w:rsidRDefault="00071BB9" w:rsidP="00B466B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Витрати на одного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акта</w:t>
      </w:r>
      <w:proofErr w:type="spellEnd"/>
    </w:p>
    <w:p w:rsidR="00B466B0" w:rsidRPr="00071BB9" w:rsidRDefault="00B466B0" w:rsidP="00071B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560"/>
        <w:gridCol w:w="1546"/>
      </w:tblGrid>
      <w:tr w:rsidR="00071BB9" w:rsidTr="005D60CB">
        <w:tc>
          <w:tcPr>
            <w:tcW w:w="169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Порядковий номер</w:t>
            </w:r>
          </w:p>
        </w:tc>
        <w:tc>
          <w:tcPr>
            <w:tcW w:w="453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перший рік</w:t>
            </w:r>
          </w:p>
        </w:tc>
        <w:tc>
          <w:tcPr>
            <w:tcW w:w="1546" w:type="dxa"/>
          </w:tcPr>
          <w:p w:rsidR="00071BB9" w:rsidRP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536" w:type="dxa"/>
          </w:tcPr>
          <w:p w:rsidR="00071BB9" w:rsidRDefault="005D60CB" w:rsidP="005D6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536" w:type="dxa"/>
          </w:tcPr>
          <w:p w:rsidR="00071BB9" w:rsidRDefault="005D60CB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Податки та збори (зміна розміру податків/зборів, </w:t>
            </w:r>
            <w:r w:rsidR="00F3182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виникнення необхідності у сплаті податків/зборів),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державним органом,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отримання інших послуг,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додаткового персоналу,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Інше (витрати суб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 господарювання, пов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язані з ознайомленням з новими регуляторними нормами та поданням пакету документів для відкриття баз для стоянки малих суден,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складатимуться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витрат часу відповідних працівників,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витраченого на подання відповідних документів), гривень</w:t>
            </w:r>
          </w:p>
        </w:tc>
        <w:tc>
          <w:tcPr>
            <w:tcW w:w="1560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9</w:t>
            </w:r>
          </w:p>
        </w:tc>
        <w:tc>
          <w:tcPr>
            <w:tcW w:w="4536" w:type="dxa"/>
          </w:tcPr>
          <w:p w:rsidR="00071BB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(сума рядків: 1 + 2 + 3 + 4 + 5 + 6 + 7 + 8), гривень</w:t>
            </w:r>
          </w:p>
        </w:tc>
        <w:tc>
          <w:tcPr>
            <w:tcW w:w="1560" w:type="dxa"/>
          </w:tcPr>
          <w:p w:rsidR="00071BB9" w:rsidRDefault="00884D09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071BB9" w:rsidRDefault="00884D09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</w:t>
            </w:r>
            <w:r w:rsidR="00E57FD0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великого та середнього підприємництва, на яких буде поширено регулювання, одиниць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  <w:tc>
          <w:tcPr>
            <w:tcW w:w="1546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</w:tr>
      <w:tr w:rsidR="00071BB9" w:rsidTr="005D60CB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4536" w:type="dxa"/>
          </w:tcPr>
          <w:p w:rsidR="00071BB9" w:rsidRPr="00E57FD0" w:rsidRDefault="00E57FD0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Сумарні 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великого та середнього підприємництва, на виконання регулювання ( вартість регулювання) (рядок 9 х рядок 10), гривень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46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CC2D72" w:rsidRPr="00CC2D72" w:rsidRDefault="00CC2D72" w:rsidP="00CC2D72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EB1421" w:rsidRDefault="005C37B1" w:rsidP="005C37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Розрахунок відповідних витрат на одного 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1811"/>
        <w:gridCol w:w="1874"/>
        <w:gridCol w:w="1830"/>
      </w:tblGrid>
      <w:tr w:rsidR="005C37B1" w:rsidTr="00FD759F">
        <w:tc>
          <w:tcPr>
            <w:tcW w:w="3823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1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У перший рік</w:t>
            </w:r>
          </w:p>
        </w:tc>
        <w:tc>
          <w:tcPr>
            <w:tcW w:w="1874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Періодичні (за рік)</w:t>
            </w:r>
          </w:p>
        </w:tc>
        <w:tc>
          <w:tcPr>
            <w:tcW w:w="1830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 w:rsidRPr="00130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5C37B1" w:rsidTr="00FD759F">
        <w:tc>
          <w:tcPr>
            <w:tcW w:w="3823" w:type="dxa"/>
          </w:tcPr>
          <w:p w:rsidR="005C37B1" w:rsidRPr="00FD759F" w:rsidRDefault="00FD759F" w:rsidP="005C37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 підвищення кваліфікації персоналу тощо</w:t>
            </w:r>
          </w:p>
        </w:tc>
        <w:tc>
          <w:tcPr>
            <w:tcW w:w="1811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74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30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EB1421" w:rsidRDefault="00EB1421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2"/>
        <w:gridCol w:w="3217"/>
        <w:gridCol w:w="3023"/>
      </w:tblGrid>
      <w:tr w:rsidR="00EB1421" w:rsidTr="00EB1421">
        <w:tc>
          <w:tcPr>
            <w:tcW w:w="339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89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044" w:type="dxa"/>
          </w:tcPr>
          <w:p w:rsidR="00EB1421" w:rsidRPr="008C3E65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B1421" w:rsidTr="00EB1421">
        <w:tc>
          <w:tcPr>
            <w:tcW w:w="3397" w:type="dxa"/>
          </w:tcPr>
          <w:p w:rsidR="00EB1421" w:rsidRDefault="00EB1421" w:rsidP="00EB14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289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3044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B466B0" w:rsidRDefault="00B466B0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559"/>
        <w:gridCol w:w="1276"/>
        <w:gridCol w:w="1263"/>
      </w:tblGrid>
      <w:tr w:rsidR="008F1173" w:rsidTr="008F1173">
        <w:tc>
          <w:tcPr>
            <w:tcW w:w="2830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410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1559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за рік</w:t>
            </w:r>
          </w:p>
        </w:tc>
        <w:tc>
          <w:tcPr>
            <w:tcW w:w="1276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263" w:type="dxa"/>
          </w:tcPr>
          <w:p w:rsidR="008F1173" w:rsidRP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F1173" w:rsidTr="008F1173">
        <w:tc>
          <w:tcPr>
            <w:tcW w:w="2830" w:type="dxa"/>
          </w:tcPr>
          <w:p w:rsidR="008F1173" w:rsidRPr="008F1173" w:rsidRDefault="008F1173" w:rsidP="008F1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8F11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поданням звітності державним органом (витрати часу персоналу)</w:t>
            </w:r>
          </w:p>
        </w:tc>
        <w:tc>
          <w:tcPr>
            <w:tcW w:w="2410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559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76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63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8C3E65" w:rsidRDefault="008F1173" w:rsidP="009C6C59">
      <w:pPr>
        <w:ind w:firstLine="284"/>
        <w:jc w:val="both"/>
        <w:rPr>
          <w:rFonts w:ascii="Times New Roman" w:hAnsi="Times New Roman" w:cs="Times New Roman"/>
          <w:sz w:val="20"/>
          <w:szCs w:val="20"/>
          <w:lang w:eastAsia="uk-UA" w:bidi="uk-UA"/>
        </w:rPr>
      </w:pPr>
      <w:r w:rsidRPr="008F1173">
        <w:rPr>
          <w:rFonts w:ascii="Times New Roman" w:hAnsi="Times New Roman" w:cs="Times New Roman"/>
          <w:sz w:val="20"/>
          <w:szCs w:val="20"/>
          <w:lang w:eastAsia="uk-UA" w:bidi="uk-UA"/>
        </w:rPr>
        <w:lastRenderedPageBreak/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BA61CA" w:rsidRPr="00BA61CA" w:rsidRDefault="00BA61CA" w:rsidP="00BA61C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6"/>
        <w:gridCol w:w="2177"/>
        <w:gridCol w:w="2006"/>
        <w:gridCol w:w="1287"/>
        <w:gridCol w:w="1252"/>
      </w:tblGrid>
      <w:tr w:rsidR="00EC73FC" w:rsidTr="009C6C59">
        <w:tc>
          <w:tcPr>
            <w:tcW w:w="2616" w:type="dxa"/>
          </w:tcPr>
          <w:p w:rsidR="00BA61CA" w:rsidRDefault="00BA61CA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177" w:type="dxa"/>
          </w:tcPr>
          <w:p w:rsidR="00BA61CA" w:rsidRDefault="00BA61CA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Витрати* на </w:t>
            </w:r>
            <w:r w:rsidR="00EC73F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адміністрування заходів державного нагляду (контролю) (за рік)</w:t>
            </w:r>
          </w:p>
        </w:tc>
        <w:tc>
          <w:tcPr>
            <w:tcW w:w="2006" w:type="dxa"/>
          </w:tcPr>
          <w:p w:rsidR="00BA61CA" w:rsidRDefault="00EC73FC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1287" w:type="dxa"/>
          </w:tcPr>
          <w:p w:rsidR="00BA61CA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252" w:type="dxa"/>
          </w:tcPr>
          <w:p w:rsidR="00BA61CA" w:rsidRPr="00EC73FC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C73FC" w:rsidTr="009C6C59">
        <w:tc>
          <w:tcPr>
            <w:tcW w:w="2616" w:type="dxa"/>
          </w:tcPr>
          <w:p w:rsidR="00BA61CA" w:rsidRDefault="00EC73FC" w:rsidP="008C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EC73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2177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006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87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52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Pr="009C6C59" w:rsidRDefault="009C6C59" w:rsidP="009C6C59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eastAsia="uk-UA" w:bidi="uk-UA"/>
        </w:rPr>
      </w:pPr>
      <w:r w:rsidRPr="009C6C59">
        <w:rPr>
          <w:rFonts w:ascii="Times New Roman" w:hAnsi="Times New Roman" w:cs="Times New Roman"/>
          <w:sz w:val="20"/>
          <w:szCs w:val="20"/>
          <w:lang w:eastAsia="uk-UA" w:bidi="uk-UA"/>
        </w:rPr>
        <w:t>* Вартість витрат, пов’язаних з адмініструванням заходів</w:t>
      </w:r>
      <w:r>
        <w:rPr>
          <w:rFonts w:ascii="Times New Roman" w:hAnsi="Times New Roman" w:cs="Times New Roman"/>
          <w:sz w:val="20"/>
          <w:szCs w:val="20"/>
          <w:lang w:eastAsia="uk-UA" w:bidi="uk-UA"/>
        </w:rPr>
        <w:t xml:space="preserve"> державного нагляду (контролю), </w:t>
      </w:r>
      <w:r w:rsidRPr="009C6C59">
        <w:rPr>
          <w:rFonts w:ascii="Times New Roman" w:hAnsi="Times New Roman" w:cs="Times New Roman"/>
          <w:sz w:val="20"/>
          <w:szCs w:val="20"/>
          <w:lang w:eastAsia="uk-UA" w:bidi="uk-UA"/>
        </w:rPr>
        <w:t>визначається шляхом множення фактичних витрат часу персоналу на заробітну плату спеціаліста відповідної кваліфікації.</w:t>
      </w:r>
    </w:p>
    <w:p w:rsidR="005C37B1" w:rsidRPr="008C3E65" w:rsidRDefault="005C37B1" w:rsidP="008C3E65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sectPr w:rsidR="005C37B1" w:rsidRPr="008C3E65" w:rsidSect="003611B0">
          <w:headerReference w:type="default" r:id="rId7"/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000"/>
        <w:gridCol w:w="1608"/>
        <w:gridCol w:w="1346"/>
      </w:tblGrid>
      <w:tr w:rsidR="00824525" w:rsidTr="00824525">
        <w:tc>
          <w:tcPr>
            <w:tcW w:w="2405" w:type="dxa"/>
          </w:tcPr>
          <w:p w:rsidR="009C6C59" w:rsidRDefault="009C6C59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Вид витрат</w:t>
            </w:r>
          </w:p>
        </w:tc>
        <w:tc>
          <w:tcPr>
            <w:tcW w:w="1985" w:type="dxa"/>
          </w:tcPr>
          <w:p w:rsidR="009C6C59" w:rsidRDefault="00344423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000" w:type="dxa"/>
          </w:tcPr>
          <w:p w:rsidR="009C6C59" w:rsidRDefault="00344423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безпосередньо на дозволи, ліцензії, серти</w:t>
            </w:r>
            <w:r w:rsid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фікати, страхові поліси (за рік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 стартовий)</w:t>
            </w:r>
          </w:p>
        </w:tc>
        <w:tc>
          <w:tcPr>
            <w:tcW w:w="1608" w:type="dxa"/>
          </w:tcPr>
          <w:p w:rsidR="009C6C59" w:rsidRDefault="00344423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Разом за рік (стартовий)</w:t>
            </w:r>
          </w:p>
        </w:tc>
        <w:tc>
          <w:tcPr>
            <w:tcW w:w="1346" w:type="dxa"/>
          </w:tcPr>
          <w:p w:rsidR="009C6C59" w:rsidRPr="00344423" w:rsidRDefault="00344423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r w:rsidR="008245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24525" w:rsidTr="00824525">
        <w:tc>
          <w:tcPr>
            <w:tcW w:w="2405" w:type="dxa"/>
          </w:tcPr>
          <w:p w:rsidR="009C6C59" w:rsidRDefault="00824525" w:rsidP="009C6C5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отримання адміністративних послуг та інших послуг (розробка програмного забезпечення Реєстру та його технічне обслуговування), гривень</w:t>
            </w:r>
          </w:p>
        </w:tc>
        <w:tc>
          <w:tcPr>
            <w:tcW w:w="1985" w:type="dxa"/>
          </w:tcPr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9C6C59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000" w:type="dxa"/>
          </w:tcPr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9C6C59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608" w:type="dxa"/>
          </w:tcPr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9C6C59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346" w:type="dxa"/>
          </w:tcPr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24525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9C6C59" w:rsidRDefault="00824525" w:rsidP="00824525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6039DF" w:rsidRDefault="00F21685" w:rsidP="009C6C5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824525" w:rsidRDefault="00F21685" w:rsidP="00F2168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836"/>
      </w:tblGrid>
      <w:tr w:rsidR="00824525" w:rsidRPr="00824525" w:rsidTr="006B02BE">
        <w:tc>
          <w:tcPr>
            <w:tcW w:w="368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24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70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183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24525" w:rsidRPr="00824525" w:rsidTr="006B02BE">
        <w:tc>
          <w:tcPr>
            <w:tcW w:w="3681" w:type="dxa"/>
          </w:tcPr>
          <w:p w:rsidR="00824525" w:rsidRPr="00824525" w:rsidRDefault="00824525" w:rsidP="006B02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01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3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8F1173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3260"/>
        <w:gridCol w:w="2261"/>
      </w:tblGrid>
      <w:tr w:rsidR="006B02BE" w:rsidTr="00024008">
        <w:tc>
          <w:tcPr>
            <w:tcW w:w="3823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226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6B02BE" w:rsidTr="00024008">
        <w:tc>
          <w:tcPr>
            <w:tcW w:w="3823" w:type="dxa"/>
          </w:tcPr>
          <w:p w:rsidR="006B02BE" w:rsidRPr="00024008" w:rsidRDefault="00024008" w:rsidP="00024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наймом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додаткового персоналу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26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9C6C59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2126"/>
        <w:gridCol w:w="1836"/>
      </w:tblGrid>
      <w:tr w:rsidR="00024008" w:rsidTr="00024008">
        <w:tc>
          <w:tcPr>
            <w:tcW w:w="3539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43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183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024008" w:rsidTr="00024008">
        <w:tc>
          <w:tcPr>
            <w:tcW w:w="3539" w:type="dxa"/>
          </w:tcPr>
          <w:p w:rsidR="00024008" w:rsidRPr="00024008" w:rsidRDefault="00024008" w:rsidP="00C17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Інше (витрати громадян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господарювання,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з ознайомленням нових регуляторних норм)</w:t>
            </w:r>
          </w:p>
        </w:tc>
        <w:tc>
          <w:tcPr>
            <w:tcW w:w="1843" w:type="dxa"/>
          </w:tcPr>
          <w:p w:rsidR="0013055D" w:rsidRDefault="0013055D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F1578C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3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sectPr w:rsidR="009C6C59" w:rsidSect="0007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89C" w:rsidRDefault="0056589C" w:rsidP="002F4644">
      <w:pPr>
        <w:spacing w:after="0" w:line="240" w:lineRule="auto"/>
      </w:pPr>
      <w:r>
        <w:separator/>
      </w:r>
    </w:p>
  </w:endnote>
  <w:endnote w:type="continuationSeparator" w:id="0">
    <w:p w:rsidR="0056589C" w:rsidRDefault="0056589C" w:rsidP="002F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89C" w:rsidRDefault="0056589C" w:rsidP="002F4644">
      <w:pPr>
        <w:spacing w:after="0" w:line="240" w:lineRule="auto"/>
      </w:pPr>
      <w:r>
        <w:separator/>
      </w:r>
    </w:p>
  </w:footnote>
  <w:footnote w:type="continuationSeparator" w:id="0">
    <w:p w:rsidR="0056589C" w:rsidRDefault="0056589C" w:rsidP="002F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64392"/>
      <w:docPartObj>
        <w:docPartGallery w:val="Page Numbers (Top of Page)"/>
        <w:docPartUnique/>
      </w:docPartObj>
    </w:sdtPr>
    <w:sdtEndPr/>
    <w:sdtContent>
      <w:p w:rsidR="008B5AC5" w:rsidRDefault="008B5A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6A2">
          <w:rPr>
            <w:noProof/>
          </w:rPr>
          <w:t>12</w:t>
        </w:r>
        <w:r>
          <w:fldChar w:fldCharType="end"/>
        </w:r>
      </w:p>
    </w:sdtContent>
  </w:sdt>
  <w:p w:rsidR="008B5AC5" w:rsidRDefault="008B5A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C"/>
    <w:multiLevelType w:val="hybridMultilevel"/>
    <w:tmpl w:val="451CC23E"/>
    <w:lvl w:ilvl="0" w:tplc="FE082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769"/>
    <w:multiLevelType w:val="hybridMultilevel"/>
    <w:tmpl w:val="32568786"/>
    <w:lvl w:ilvl="0" w:tplc="A06E0D28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FB13DA7"/>
    <w:multiLevelType w:val="hybridMultilevel"/>
    <w:tmpl w:val="E31AEA20"/>
    <w:lvl w:ilvl="0" w:tplc="BF42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94A7C"/>
    <w:multiLevelType w:val="hybridMultilevel"/>
    <w:tmpl w:val="76FC1EFE"/>
    <w:lvl w:ilvl="0" w:tplc="F40AE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6BB"/>
    <w:multiLevelType w:val="hybridMultilevel"/>
    <w:tmpl w:val="EEDABDE6"/>
    <w:lvl w:ilvl="0" w:tplc="8E98D2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4F13"/>
    <w:multiLevelType w:val="hybridMultilevel"/>
    <w:tmpl w:val="92AEA11A"/>
    <w:lvl w:ilvl="0" w:tplc="3E06F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240A34"/>
    <w:multiLevelType w:val="hybridMultilevel"/>
    <w:tmpl w:val="EC1A60EC"/>
    <w:lvl w:ilvl="0" w:tplc="28209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993574"/>
    <w:multiLevelType w:val="hybridMultilevel"/>
    <w:tmpl w:val="8C68D600"/>
    <w:lvl w:ilvl="0" w:tplc="571431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C1E3D"/>
    <w:multiLevelType w:val="hybridMultilevel"/>
    <w:tmpl w:val="27FEB8E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465569"/>
    <w:multiLevelType w:val="hybridMultilevel"/>
    <w:tmpl w:val="AD10F53C"/>
    <w:lvl w:ilvl="0" w:tplc="478E70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72A3"/>
    <w:multiLevelType w:val="hybridMultilevel"/>
    <w:tmpl w:val="ABAC729C"/>
    <w:lvl w:ilvl="0" w:tplc="130C3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6617"/>
    <w:multiLevelType w:val="hybridMultilevel"/>
    <w:tmpl w:val="C0ECCF12"/>
    <w:lvl w:ilvl="0" w:tplc="7F460B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10CF6"/>
    <w:multiLevelType w:val="hybridMultilevel"/>
    <w:tmpl w:val="7966CCF8"/>
    <w:lvl w:ilvl="0" w:tplc="79065C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329F7"/>
    <w:multiLevelType w:val="hybridMultilevel"/>
    <w:tmpl w:val="F1805D82"/>
    <w:lvl w:ilvl="0" w:tplc="F7342FE0">
      <w:start w:val="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1BAE"/>
    <w:multiLevelType w:val="hybridMultilevel"/>
    <w:tmpl w:val="2F7C1D0A"/>
    <w:lvl w:ilvl="0" w:tplc="A846F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5"/>
    <w:rsid w:val="000037AD"/>
    <w:rsid w:val="00003AE3"/>
    <w:rsid w:val="00012E02"/>
    <w:rsid w:val="00024008"/>
    <w:rsid w:val="00057D61"/>
    <w:rsid w:val="00071BB9"/>
    <w:rsid w:val="000824CF"/>
    <w:rsid w:val="00094445"/>
    <w:rsid w:val="000A28C0"/>
    <w:rsid w:val="000C3522"/>
    <w:rsid w:val="0010254C"/>
    <w:rsid w:val="00106615"/>
    <w:rsid w:val="00113CC5"/>
    <w:rsid w:val="00123B02"/>
    <w:rsid w:val="0013055D"/>
    <w:rsid w:val="00150ECC"/>
    <w:rsid w:val="00157458"/>
    <w:rsid w:val="001766ED"/>
    <w:rsid w:val="00183610"/>
    <w:rsid w:val="001970FE"/>
    <w:rsid w:val="001B0A44"/>
    <w:rsid w:val="001B39B0"/>
    <w:rsid w:val="001B6AC1"/>
    <w:rsid w:val="001C356D"/>
    <w:rsid w:val="001D58D1"/>
    <w:rsid w:val="001D6639"/>
    <w:rsid w:val="002028A5"/>
    <w:rsid w:val="002054E5"/>
    <w:rsid w:val="00205869"/>
    <w:rsid w:val="00207A2D"/>
    <w:rsid w:val="00220F1F"/>
    <w:rsid w:val="00225F31"/>
    <w:rsid w:val="00244F96"/>
    <w:rsid w:val="00246E96"/>
    <w:rsid w:val="00263120"/>
    <w:rsid w:val="002A045D"/>
    <w:rsid w:val="002F3D50"/>
    <w:rsid w:val="002F4644"/>
    <w:rsid w:val="002F71D3"/>
    <w:rsid w:val="00304160"/>
    <w:rsid w:val="003131AB"/>
    <w:rsid w:val="00344423"/>
    <w:rsid w:val="0034518B"/>
    <w:rsid w:val="003547EA"/>
    <w:rsid w:val="003611B0"/>
    <w:rsid w:val="00373C8F"/>
    <w:rsid w:val="00394C5E"/>
    <w:rsid w:val="003C5B1A"/>
    <w:rsid w:val="003D1E42"/>
    <w:rsid w:val="004039A4"/>
    <w:rsid w:val="00432BF8"/>
    <w:rsid w:val="004351A2"/>
    <w:rsid w:val="004411D7"/>
    <w:rsid w:val="0046104C"/>
    <w:rsid w:val="00467FCC"/>
    <w:rsid w:val="004771E3"/>
    <w:rsid w:val="00487969"/>
    <w:rsid w:val="004B2FE6"/>
    <w:rsid w:val="004D2552"/>
    <w:rsid w:val="004D7CE1"/>
    <w:rsid w:val="00541E99"/>
    <w:rsid w:val="0056589C"/>
    <w:rsid w:val="005872B2"/>
    <w:rsid w:val="005977D0"/>
    <w:rsid w:val="005A65CE"/>
    <w:rsid w:val="005B7E70"/>
    <w:rsid w:val="005C37B1"/>
    <w:rsid w:val="005D60CB"/>
    <w:rsid w:val="005E34F4"/>
    <w:rsid w:val="00602835"/>
    <w:rsid w:val="006039DF"/>
    <w:rsid w:val="006174CB"/>
    <w:rsid w:val="0064746C"/>
    <w:rsid w:val="006547A1"/>
    <w:rsid w:val="00674CD4"/>
    <w:rsid w:val="00680A69"/>
    <w:rsid w:val="00692A60"/>
    <w:rsid w:val="006A5758"/>
    <w:rsid w:val="006B02BE"/>
    <w:rsid w:val="006B37EA"/>
    <w:rsid w:val="006B5BBB"/>
    <w:rsid w:val="0070472D"/>
    <w:rsid w:val="0075786C"/>
    <w:rsid w:val="00786BAC"/>
    <w:rsid w:val="007B4E6D"/>
    <w:rsid w:val="00804CCA"/>
    <w:rsid w:val="0081107D"/>
    <w:rsid w:val="00824525"/>
    <w:rsid w:val="008404DD"/>
    <w:rsid w:val="00884D09"/>
    <w:rsid w:val="008855C1"/>
    <w:rsid w:val="00890F79"/>
    <w:rsid w:val="00893BF8"/>
    <w:rsid w:val="008B2791"/>
    <w:rsid w:val="008B5AC5"/>
    <w:rsid w:val="008C3E65"/>
    <w:rsid w:val="008F1173"/>
    <w:rsid w:val="008F349F"/>
    <w:rsid w:val="00901DC0"/>
    <w:rsid w:val="00952C15"/>
    <w:rsid w:val="009706A2"/>
    <w:rsid w:val="009C6C59"/>
    <w:rsid w:val="009D4941"/>
    <w:rsid w:val="009D69F7"/>
    <w:rsid w:val="00A02D77"/>
    <w:rsid w:val="00A31035"/>
    <w:rsid w:val="00A40310"/>
    <w:rsid w:val="00A66C64"/>
    <w:rsid w:val="00A84FCD"/>
    <w:rsid w:val="00A85A00"/>
    <w:rsid w:val="00A914DE"/>
    <w:rsid w:val="00AC264E"/>
    <w:rsid w:val="00AC3828"/>
    <w:rsid w:val="00AC5A1E"/>
    <w:rsid w:val="00AC5FA3"/>
    <w:rsid w:val="00B140B4"/>
    <w:rsid w:val="00B1568C"/>
    <w:rsid w:val="00B3608F"/>
    <w:rsid w:val="00B466B0"/>
    <w:rsid w:val="00B61D2A"/>
    <w:rsid w:val="00B642CF"/>
    <w:rsid w:val="00B97291"/>
    <w:rsid w:val="00BA61CA"/>
    <w:rsid w:val="00BB10BC"/>
    <w:rsid w:val="00BF1F47"/>
    <w:rsid w:val="00BF3460"/>
    <w:rsid w:val="00C07FCB"/>
    <w:rsid w:val="00C17CB9"/>
    <w:rsid w:val="00C21C6C"/>
    <w:rsid w:val="00C24EC9"/>
    <w:rsid w:val="00C305CF"/>
    <w:rsid w:val="00CA4BEB"/>
    <w:rsid w:val="00CC2D72"/>
    <w:rsid w:val="00CD2260"/>
    <w:rsid w:val="00D031B0"/>
    <w:rsid w:val="00D326D2"/>
    <w:rsid w:val="00D50AC5"/>
    <w:rsid w:val="00D6598A"/>
    <w:rsid w:val="00D831CE"/>
    <w:rsid w:val="00D916B1"/>
    <w:rsid w:val="00DB3450"/>
    <w:rsid w:val="00DB5172"/>
    <w:rsid w:val="00DD3817"/>
    <w:rsid w:val="00DF579B"/>
    <w:rsid w:val="00E06050"/>
    <w:rsid w:val="00E07C60"/>
    <w:rsid w:val="00E53AA7"/>
    <w:rsid w:val="00E57FD0"/>
    <w:rsid w:val="00E6241B"/>
    <w:rsid w:val="00E8160D"/>
    <w:rsid w:val="00EA7A73"/>
    <w:rsid w:val="00EB1421"/>
    <w:rsid w:val="00EC73FC"/>
    <w:rsid w:val="00F1578C"/>
    <w:rsid w:val="00F17ACE"/>
    <w:rsid w:val="00F21685"/>
    <w:rsid w:val="00F23D51"/>
    <w:rsid w:val="00F31829"/>
    <w:rsid w:val="00F6030B"/>
    <w:rsid w:val="00F65163"/>
    <w:rsid w:val="00F76013"/>
    <w:rsid w:val="00F8565D"/>
    <w:rsid w:val="00FC75C0"/>
    <w:rsid w:val="00FD481E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E62AE"/>
  <w15:chartTrackingRefBased/>
  <w15:docId w15:val="{67647622-1212-473B-8058-6145FBE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73"/>
  </w:style>
  <w:style w:type="paragraph" w:styleId="1">
    <w:name w:val="heading 1"/>
    <w:basedOn w:val="a"/>
    <w:link w:val="10"/>
    <w:uiPriority w:val="9"/>
    <w:qFormat/>
    <w:rsid w:val="00B466B0"/>
    <w:pPr>
      <w:spacing w:after="0" w:line="240" w:lineRule="auto"/>
      <w:ind w:left="11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58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10254C"/>
    <w:pPr>
      <w:ind w:left="720"/>
      <w:contextualSpacing/>
    </w:pPr>
  </w:style>
  <w:style w:type="table" w:styleId="a6">
    <w:name w:val="Table Grid"/>
    <w:basedOn w:val="a1"/>
    <w:uiPriority w:val="59"/>
    <w:rsid w:val="0061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F4644"/>
  </w:style>
  <w:style w:type="paragraph" w:styleId="a9">
    <w:name w:val="footer"/>
    <w:basedOn w:val="a"/>
    <w:link w:val="aa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F4644"/>
  </w:style>
  <w:style w:type="paragraph" w:customStyle="1" w:styleId="TableParagraph">
    <w:name w:val="Table Paragraph"/>
    <w:basedOn w:val="a"/>
    <w:uiPriority w:val="1"/>
    <w:qFormat/>
    <w:rsid w:val="000A28C0"/>
    <w:pPr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466B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12</Pages>
  <Words>11460</Words>
  <Characters>6533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Тетяночка</dc:creator>
  <cp:keywords/>
  <dc:description/>
  <cp:lastModifiedBy>RePack by Diakov</cp:lastModifiedBy>
  <cp:revision>28</cp:revision>
  <cp:lastPrinted>2023-02-27T13:26:00Z</cp:lastPrinted>
  <dcterms:created xsi:type="dcterms:W3CDTF">2023-02-03T08:29:00Z</dcterms:created>
  <dcterms:modified xsi:type="dcterms:W3CDTF">2023-02-28T14:17:00Z</dcterms:modified>
</cp:coreProperties>
</file>