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52" w:rsidRPr="00AB0E52" w:rsidRDefault="00AB0E52" w:rsidP="00AB0E52">
      <w:pPr>
        <w:tabs>
          <w:tab w:val="left" w:pos="12860"/>
        </w:tabs>
        <w:spacing w:after="0" w:line="240" w:lineRule="auto"/>
        <w:ind w:left="9639" w:hanging="283"/>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Додаток</w:t>
      </w:r>
    </w:p>
    <w:p w:rsidR="00AB0E52" w:rsidRPr="00AB0E52" w:rsidRDefault="00AB0E52" w:rsidP="00AB0E52">
      <w:pPr>
        <w:tabs>
          <w:tab w:val="left" w:pos="12860"/>
        </w:tabs>
        <w:spacing w:after="0" w:line="240" w:lineRule="auto"/>
        <w:ind w:left="9356"/>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до Програми удосконалення системи соціального захисту населення в Івано-Франківській області на 2023-2025 роки</w:t>
      </w:r>
    </w:p>
    <w:p w:rsidR="00AB0E52" w:rsidRPr="00AB0E52" w:rsidRDefault="00AB0E52" w:rsidP="00AB0E52">
      <w:pPr>
        <w:tabs>
          <w:tab w:val="left" w:pos="12860"/>
        </w:tabs>
        <w:spacing w:after="0" w:line="240" w:lineRule="auto"/>
        <w:ind w:left="9540"/>
        <w:jc w:val="center"/>
        <w:rPr>
          <w:rFonts w:ascii="Times New Roman" w:eastAsia="Times New Roman" w:hAnsi="Times New Roman" w:cs="Times New Roman"/>
          <w:sz w:val="12"/>
          <w:szCs w:val="12"/>
          <w:lang w:eastAsia="ru-RU"/>
        </w:rPr>
      </w:pPr>
    </w:p>
    <w:p w:rsidR="00AB0E52" w:rsidRPr="00AB0E52" w:rsidRDefault="00AB0E52" w:rsidP="00AB0E52">
      <w:pPr>
        <w:tabs>
          <w:tab w:val="left" w:pos="12860"/>
        </w:tabs>
        <w:spacing w:after="0" w:line="240" w:lineRule="auto"/>
        <w:jc w:val="center"/>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 xml:space="preserve">Перелік заходів, обсяги та джерела фінансування </w:t>
      </w:r>
    </w:p>
    <w:p w:rsidR="00AB0E52" w:rsidRPr="00AB0E52" w:rsidRDefault="00AB0E52" w:rsidP="00AB0E52">
      <w:pPr>
        <w:tabs>
          <w:tab w:val="left" w:pos="12860"/>
        </w:tabs>
        <w:spacing w:after="0" w:line="240" w:lineRule="auto"/>
        <w:jc w:val="center"/>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Програми удосконалення системи соціального захисту населення в Івано-Франківській області на 2023-2025 роки</w:t>
      </w:r>
    </w:p>
    <w:p w:rsidR="00AB0E52" w:rsidRPr="00AB0E52" w:rsidRDefault="00AB0E52" w:rsidP="00AB0E52">
      <w:pPr>
        <w:tabs>
          <w:tab w:val="left" w:pos="12860"/>
        </w:tabs>
        <w:spacing w:after="0" w:line="240" w:lineRule="auto"/>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Назва замовника: Департамент соціал</w:t>
      </w:r>
      <w:r w:rsidR="002324DF">
        <w:rPr>
          <w:rFonts w:ascii="Times New Roman" w:eastAsia="Times New Roman" w:hAnsi="Times New Roman" w:cs="Times New Roman"/>
          <w:b/>
          <w:sz w:val="28"/>
          <w:szCs w:val="28"/>
          <w:lang w:eastAsia="ru-RU"/>
        </w:rPr>
        <w:t>ь</w:t>
      </w:r>
      <w:r w:rsidRPr="00AB0E52">
        <w:rPr>
          <w:rFonts w:ascii="Times New Roman" w:eastAsia="Times New Roman" w:hAnsi="Times New Roman" w:cs="Times New Roman"/>
          <w:b/>
          <w:sz w:val="28"/>
          <w:szCs w:val="28"/>
          <w:lang w:eastAsia="ru-RU"/>
        </w:rPr>
        <w:t>но</w:t>
      </w:r>
      <w:r w:rsidR="002324DF">
        <w:rPr>
          <w:rFonts w:ascii="Times New Roman" w:eastAsia="Times New Roman" w:hAnsi="Times New Roman" w:cs="Times New Roman"/>
          <w:b/>
          <w:sz w:val="28"/>
          <w:szCs w:val="28"/>
          <w:lang w:eastAsia="ru-RU"/>
        </w:rPr>
        <w:t>ї</w:t>
      </w:r>
      <w:r w:rsidRPr="00AB0E52">
        <w:rPr>
          <w:rFonts w:ascii="Times New Roman" w:eastAsia="Times New Roman" w:hAnsi="Times New Roman" w:cs="Times New Roman"/>
          <w:b/>
          <w:sz w:val="28"/>
          <w:szCs w:val="28"/>
          <w:lang w:eastAsia="ru-RU"/>
        </w:rPr>
        <w:t xml:space="preserve"> політики о</w:t>
      </w:r>
      <w:r w:rsidR="002324DF">
        <w:rPr>
          <w:rFonts w:ascii="Times New Roman" w:eastAsia="Times New Roman" w:hAnsi="Times New Roman" w:cs="Times New Roman"/>
          <w:b/>
          <w:sz w:val="28"/>
          <w:szCs w:val="28"/>
          <w:lang w:eastAsia="ru-RU"/>
        </w:rPr>
        <w:t>б</w:t>
      </w:r>
      <w:r w:rsidRPr="00AB0E52">
        <w:rPr>
          <w:rFonts w:ascii="Times New Roman" w:eastAsia="Times New Roman" w:hAnsi="Times New Roman" w:cs="Times New Roman"/>
          <w:b/>
          <w:sz w:val="28"/>
          <w:szCs w:val="28"/>
          <w:lang w:eastAsia="ru-RU"/>
        </w:rPr>
        <w:t>ласної державної адміністрації</w:t>
      </w:r>
    </w:p>
    <w:p w:rsidR="00AB0E52" w:rsidRPr="00AB0E52" w:rsidRDefault="00AB0E52" w:rsidP="00AB0E52">
      <w:pPr>
        <w:tabs>
          <w:tab w:val="left" w:pos="12860"/>
        </w:tabs>
        <w:spacing w:after="0" w:line="240" w:lineRule="auto"/>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Назва програми: Програма удосконалення системи соціального за</w:t>
      </w:r>
      <w:r w:rsidR="002324DF">
        <w:rPr>
          <w:rFonts w:ascii="Times New Roman" w:eastAsia="Times New Roman" w:hAnsi="Times New Roman" w:cs="Times New Roman"/>
          <w:b/>
          <w:sz w:val="28"/>
          <w:szCs w:val="28"/>
          <w:lang w:eastAsia="ru-RU"/>
        </w:rPr>
        <w:t>х</w:t>
      </w:r>
      <w:r w:rsidRPr="00AB0E52">
        <w:rPr>
          <w:rFonts w:ascii="Times New Roman" w:eastAsia="Times New Roman" w:hAnsi="Times New Roman" w:cs="Times New Roman"/>
          <w:b/>
          <w:sz w:val="28"/>
          <w:szCs w:val="28"/>
          <w:lang w:eastAsia="ru-RU"/>
        </w:rPr>
        <w:t>исту населення в Івано-Франківській області  на 2023-2025 роки</w:t>
      </w:r>
    </w:p>
    <w:p w:rsidR="00AB0E52" w:rsidRPr="00AB0E52" w:rsidRDefault="00AB0E52" w:rsidP="00AB0E52">
      <w:pPr>
        <w:tabs>
          <w:tab w:val="left" w:pos="12860"/>
        </w:tabs>
        <w:spacing w:after="0" w:line="240" w:lineRule="auto"/>
        <w:jc w:val="center"/>
        <w:rPr>
          <w:rFonts w:ascii="Times New Roman" w:eastAsia="Times New Roman" w:hAnsi="Times New Roman" w:cs="Times New Roman"/>
          <w:b/>
          <w:sz w:val="16"/>
          <w:szCs w:val="16"/>
          <w:lang w:eastAsia="ru-RU"/>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853"/>
        <w:gridCol w:w="1701"/>
        <w:gridCol w:w="1417"/>
        <w:gridCol w:w="992"/>
        <w:gridCol w:w="88"/>
        <w:gridCol w:w="12"/>
        <w:gridCol w:w="893"/>
        <w:gridCol w:w="7"/>
        <w:gridCol w:w="12"/>
        <w:gridCol w:w="1092"/>
        <w:gridCol w:w="12"/>
        <w:gridCol w:w="11"/>
        <w:gridCol w:w="1117"/>
        <w:gridCol w:w="17"/>
        <w:gridCol w:w="992"/>
        <w:gridCol w:w="1827"/>
      </w:tblGrid>
      <w:tr w:rsidR="00AB0E52" w:rsidRPr="00AB0E52" w:rsidTr="00A00C97">
        <w:trPr>
          <w:cantSplit/>
          <w:trHeight w:val="557"/>
          <w:jc w:val="center"/>
        </w:trPr>
        <w:tc>
          <w:tcPr>
            <w:tcW w:w="558"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w:t>
            </w:r>
          </w:p>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з/п</w:t>
            </w:r>
          </w:p>
        </w:tc>
        <w:tc>
          <w:tcPr>
            <w:tcW w:w="3853"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Найменування заходу</w:t>
            </w:r>
          </w:p>
        </w:tc>
        <w:tc>
          <w:tcPr>
            <w:tcW w:w="1701"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Виконавець</w:t>
            </w:r>
          </w:p>
        </w:tc>
        <w:tc>
          <w:tcPr>
            <w:tcW w:w="1417" w:type="dxa"/>
            <w:vMerge w:val="restart"/>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12"/>
              <w:jc w:val="center"/>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Термін виконання</w:t>
            </w:r>
          </w:p>
        </w:tc>
        <w:tc>
          <w:tcPr>
            <w:tcW w:w="5245" w:type="dxa"/>
            <w:gridSpan w:val="12"/>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Орієнтовні обсяги</w:t>
            </w:r>
          </w:p>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фінансування (тис. грн)</w:t>
            </w:r>
          </w:p>
        </w:tc>
        <w:tc>
          <w:tcPr>
            <w:tcW w:w="1827"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Очікуваний результат</w:t>
            </w:r>
          </w:p>
        </w:tc>
      </w:tr>
      <w:tr w:rsidR="00AB0E52" w:rsidRPr="00AB0E52" w:rsidTr="00A00C97">
        <w:trPr>
          <w:cantSplit/>
          <w:trHeight w:val="696"/>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Times New Roman" w:hAnsi="Times New Roman" w:cs="Times New Roman"/>
                <w:b/>
                <w:sz w:val="24"/>
                <w:szCs w:val="24"/>
                <w:lang w:eastAsia="ru-RU"/>
              </w:rPr>
            </w:pPr>
          </w:p>
        </w:tc>
        <w:tc>
          <w:tcPr>
            <w:tcW w:w="3853"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1417" w:type="dxa"/>
            <w:vMerge/>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12"/>
              <w:jc w:val="center"/>
              <w:rPr>
                <w:rFonts w:ascii="Times New Roman" w:eastAsia="Times New Roman" w:hAnsi="Times New Roman" w:cs="Times New Roman"/>
                <w:b/>
                <w:sz w:val="24"/>
                <w:szCs w:val="24"/>
                <w:lang w:eastAsia="ru-RU"/>
              </w:rPr>
            </w:pPr>
          </w:p>
        </w:tc>
        <w:tc>
          <w:tcPr>
            <w:tcW w:w="992"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роки</w:t>
            </w:r>
          </w:p>
        </w:tc>
        <w:tc>
          <w:tcPr>
            <w:tcW w:w="993" w:type="dxa"/>
            <w:gridSpan w:val="3"/>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всього</w:t>
            </w:r>
          </w:p>
        </w:tc>
        <w:tc>
          <w:tcPr>
            <w:tcW w:w="3260" w:type="dxa"/>
            <w:gridSpan w:val="8"/>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в т. ч. за джерелами фінансування</w:t>
            </w: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eastAsia="ru-RU"/>
              </w:rPr>
            </w:pPr>
          </w:p>
        </w:tc>
      </w:tr>
      <w:tr w:rsidR="00AB0E52" w:rsidRPr="00AB0E52" w:rsidTr="00A00C97">
        <w:trPr>
          <w:cantSplit/>
          <w:trHeight w:val="600"/>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Times New Roman" w:hAnsi="Times New Roman" w:cs="Times New Roman"/>
                <w:b/>
                <w:sz w:val="24"/>
                <w:szCs w:val="24"/>
                <w:lang w:eastAsia="ru-RU"/>
              </w:rPr>
            </w:pPr>
          </w:p>
        </w:tc>
        <w:tc>
          <w:tcPr>
            <w:tcW w:w="3853"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1417" w:type="dxa"/>
            <w:vMerge/>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12"/>
              <w:jc w:val="center"/>
              <w:rPr>
                <w:rFonts w:ascii="Times New Roman" w:eastAsia="Times New Roman" w:hAnsi="Times New Roman" w:cs="Times New Roman"/>
                <w:b/>
                <w:sz w:val="24"/>
                <w:szCs w:val="24"/>
                <w:lang w:eastAsia="ru-RU"/>
              </w:rPr>
            </w:pPr>
          </w:p>
        </w:tc>
        <w:tc>
          <w:tcPr>
            <w:tcW w:w="992"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p>
        </w:tc>
        <w:tc>
          <w:tcPr>
            <w:tcW w:w="993" w:type="dxa"/>
            <w:gridSpan w:val="3"/>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p>
        </w:tc>
        <w:tc>
          <w:tcPr>
            <w:tcW w:w="1134" w:type="dxa"/>
            <w:gridSpan w:val="5"/>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обласний бюджет</w:t>
            </w:r>
          </w:p>
        </w:tc>
        <w:tc>
          <w:tcPr>
            <w:tcW w:w="1134" w:type="dxa"/>
            <w:gridSpan w:val="2"/>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місцевий бюджет</w:t>
            </w:r>
          </w:p>
        </w:tc>
        <w:tc>
          <w:tcPr>
            <w:tcW w:w="992" w:type="dxa"/>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 w:right="-131"/>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
                <w:sz w:val="24"/>
                <w:szCs w:val="24"/>
                <w:lang w:eastAsia="ru-RU"/>
              </w:rPr>
              <w:t xml:space="preserve">інші джерела </w:t>
            </w: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eastAsia="ru-RU"/>
              </w:rPr>
            </w:pPr>
          </w:p>
        </w:tc>
      </w:tr>
      <w:tr w:rsidR="00AB0E52" w:rsidRPr="00AB0E52" w:rsidTr="00A00C97">
        <w:trPr>
          <w:cantSplit/>
          <w:trHeight w:val="1126"/>
          <w:jc w:val="center"/>
        </w:trPr>
        <w:tc>
          <w:tcPr>
            <w:tcW w:w="558"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sz w:val="24"/>
                <w:szCs w:val="24"/>
                <w:lang w:eastAsia="ru-RU"/>
              </w:rPr>
              <w:t>1.</w:t>
            </w:r>
          </w:p>
        </w:tc>
        <w:tc>
          <w:tcPr>
            <w:tcW w:w="3853"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jc w:val="both"/>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sz w:val="24"/>
                <w:szCs w:val="24"/>
                <w:lang w:eastAsia="ru-RU"/>
              </w:rPr>
              <w:t xml:space="preserve">  Забезпечення безперебійної діяльності департаменту соціальної політики Івано-Франківської обласної державної адміністрації (далі – Департамент) з питань нарахування та виплат всіх видів соціальних допомог, компенсаційних виплат, пільг, архівування документів, в тому числі придбання паперу, паперових та картонних виробів, офісного та канцелярського приладдя для забезпечення обробки інформації, придбання пристроїв для зберігання та зчитування даних, </w:t>
            </w:r>
            <w:r w:rsidRPr="00AB0E52">
              <w:rPr>
                <w:rFonts w:ascii="Times New Roman" w:eastAsia="Times New Roman" w:hAnsi="Times New Roman" w:cs="Times New Roman"/>
                <w:sz w:val="24"/>
                <w:szCs w:val="24"/>
                <w:lang w:eastAsia="ru-RU"/>
              </w:rPr>
              <w:lastRenderedPageBreak/>
              <w:t xml:space="preserve">ремонт і технічне обслуговування, утилізація комп’ютерної техніки, послуги з моніторингу сигналів тривоги, що надходять  з  пристроїв охоронної сигналізації та послуги із страхування майна для збереження інформації, встановлення та закупівля лічильників, встановлення засобів дистанційної передачі даних, закупівля та </w:t>
            </w:r>
            <w:proofErr w:type="spellStart"/>
            <w:r w:rsidRPr="00AB0E52">
              <w:rPr>
                <w:rFonts w:ascii="Times New Roman" w:eastAsia="Times New Roman" w:hAnsi="Times New Roman" w:cs="Times New Roman"/>
                <w:sz w:val="24"/>
                <w:szCs w:val="24"/>
                <w:lang w:eastAsia="ru-RU"/>
              </w:rPr>
              <w:t>перезаправка</w:t>
            </w:r>
            <w:proofErr w:type="spellEnd"/>
            <w:r w:rsidRPr="00AB0E52">
              <w:rPr>
                <w:rFonts w:ascii="Times New Roman" w:eastAsia="Times New Roman" w:hAnsi="Times New Roman" w:cs="Times New Roman"/>
                <w:sz w:val="24"/>
                <w:szCs w:val="24"/>
                <w:lang w:eastAsia="ru-RU"/>
              </w:rPr>
              <w:t xml:space="preserve"> вогнегасників.</w:t>
            </w:r>
          </w:p>
        </w:tc>
        <w:tc>
          <w:tcPr>
            <w:tcW w:w="1701"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bCs/>
                <w:noProof/>
                <w:sz w:val="24"/>
                <w:szCs w:val="24"/>
                <w:lang w:eastAsia="ru-RU"/>
              </w:rPr>
              <w:lastRenderedPageBreak/>
              <w:t>Департамент соціальної політики Івано-Франківської обласної державної адміністрації</w:t>
            </w: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12"/>
              <w:jc w:val="center"/>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2023-2025 роки в т.</w:t>
            </w:r>
            <w:r w:rsidR="005233BC">
              <w:rPr>
                <w:rFonts w:ascii="Times New Roman" w:eastAsia="Times New Roman" w:hAnsi="Times New Roman" w:cs="Times New Roman"/>
                <w:sz w:val="24"/>
                <w:szCs w:val="24"/>
                <w:lang w:eastAsia="ru-RU"/>
              </w:rPr>
              <w:t xml:space="preserve"> </w:t>
            </w:r>
            <w:r w:rsidRPr="00AB0E52">
              <w:rPr>
                <w:rFonts w:ascii="Times New Roman" w:eastAsia="Times New Roman" w:hAnsi="Times New Roman" w:cs="Times New Roman"/>
                <w:sz w:val="24"/>
                <w:szCs w:val="24"/>
                <w:lang w:eastAsia="ru-RU"/>
              </w:rPr>
              <w:t>ч.:</w:t>
            </w:r>
          </w:p>
        </w:tc>
        <w:tc>
          <w:tcPr>
            <w:tcW w:w="992" w:type="dxa"/>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2023-2025 роки в</w:t>
            </w:r>
            <w:r w:rsidR="005233BC">
              <w:rPr>
                <w:rFonts w:ascii="Times New Roman" w:eastAsia="Times New Roman" w:hAnsi="Times New Roman" w:cs="Times New Roman"/>
                <w:sz w:val="24"/>
                <w:szCs w:val="24"/>
                <w:lang w:eastAsia="ru-RU"/>
              </w:rPr>
              <w:t xml:space="preserve">  </w:t>
            </w:r>
            <w:r w:rsidRPr="00AB0E52">
              <w:rPr>
                <w:rFonts w:ascii="Times New Roman" w:eastAsia="Times New Roman" w:hAnsi="Times New Roman" w:cs="Times New Roman"/>
                <w:sz w:val="24"/>
                <w:szCs w:val="24"/>
                <w:lang w:eastAsia="ru-RU"/>
              </w:rPr>
              <w:t xml:space="preserve"> т.</w:t>
            </w:r>
            <w:r w:rsidR="005233BC">
              <w:rPr>
                <w:rFonts w:ascii="Times New Roman" w:eastAsia="Times New Roman" w:hAnsi="Times New Roman" w:cs="Times New Roman"/>
                <w:sz w:val="24"/>
                <w:szCs w:val="24"/>
                <w:lang w:eastAsia="ru-RU"/>
              </w:rPr>
              <w:t xml:space="preserve"> </w:t>
            </w:r>
            <w:r w:rsidRPr="00AB0E52">
              <w:rPr>
                <w:rFonts w:ascii="Times New Roman" w:eastAsia="Times New Roman" w:hAnsi="Times New Roman" w:cs="Times New Roman"/>
                <w:sz w:val="24"/>
                <w:szCs w:val="24"/>
                <w:lang w:eastAsia="ru-RU"/>
              </w:rPr>
              <w:t>ч.:</w:t>
            </w:r>
          </w:p>
        </w:tc>
        <w:tc>
          <w:tcPr>
            <w:tcW w:w="993" w:type="dxa"/>
            <w:gridSpan w:val="3"/>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850,00</w:t>
            </w:r>
          </w:p>
        </w:tc>
        <w:tc>
          <w:tcPr>
            <w:tcW w:w="1134" w:type="dxa"/>
            <w:gridSpan w:val="5"/>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r w:rsidRPr="00AB0E52">
              <w:rPr>
                <w:rFonts w:ascii="Times New Roman" w:eastAsia="Times New Roman" w:hAnsi="Times New Roman" w:cs="Times New Roman"/>
                <w:sz w:val="24"/>
                <w:szCs w:val="24"/>
                <w:lang w:eastAsia="ru-RU"/>
              </w:rPr>
              <w:t>850,00</w:t>
            </w:r>
          </w:p>
        </w:tc>
        <w:tc>
          <w:tcPr>
            <w:tcW w:w="1134" w:type="dxa"/>
            <w:gridSpan w:val="2"/>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p>
        </w:tc>
        <w:tc>
          <w:tcPr>
            <w:tcW w:w="992" w:type="dxa"/>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right="-131"/>
              <w:jc w:val="center"/>
              <w:outlineLvl w:val="0"/>
              <w:rPr>
                <w:rFonts w:ascii="Times New Roman" w:eastAsia="Times New Roman" w:hAnsi="Times New Roman" w:cs="Times New Roman"/>
                <w:b/>
                <w:sz w:val="24"/>
                <w:szCs w:val="24"/>
                <w:lang w:eastAsia="ru-RU"/>
              </w:rPr>
            </w:pPr>
          </w:p>
        </w:tc>
        <w:tc>
          <w:tcPr>
            <w:tcW w:w="1827"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 xml:space="preserve">Збереження інформації, яка міститься в базах даних отримувачів всіх видів субсидій, пільг та допомог (АСОПД, ЄДАРП), розширення можливостей інформаційно-телекомунікаційної системи </w:t>
            </w:r>
            <w:r w:rsidRPr="00AB0E52">
              <w:rPr>
                <w:rFonts w:ascii="Times New Roman" w:eastAsia="Times New Roman" w:hAnsi="Times New Roman" w:cs="Times New Roman"/>
                <w:sz w:val="24"/>
                <w:szCs w:val="24"/>
                <w:lang w:eastAsia="ru-RU"/>
              </w:rPr>
              <w:lastRenderedPageBreak/>
              <w:t>Департаменту, збереження майна Департаменту та приведення рівня технічного обладнання до вимог чинного законодавства.</w:t>
            </w:r>
          </w:p>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sz w:val="24"/>
                <w:szCs w:val="24"/>
                <w:lang w:eastAsia="ru-RU"/>
              </w:rPr>
            </w:pPr>
          </w:p>
        </w:tc>
      </w:tr>
      <w:tr w:rsidR="00AB0E52" w:rsidRPr="00AB0E52" w:rsidTr="00A00C97">
        <w:trPr>
          <w:cantSplit/>
          <w:trHeight w:val="20"/>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Times New Roman" w:hAnsi="Times New Roman" w:cs="Times New Roman"/>
                <w:b/>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jc w:val="both"/>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w:t>
            </w:r>
          </w:p>
        </w:tc>
        <w:tc>
          <w:tcPr>
            <w:tcW w:w="992" w:type="dxa"/>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2023</w:t>
            </w:r>
          </w:p>
        </w:tc>
        <w:tc>
          <w:tcPr>
            <w:tcW w:w="993" w:type="dxa"/>
            <w:gridSpan w:val="3"/>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250,00</w:t>
            </w:r>
          </w:p>
        </w:tc>
        <w:tc>
          <w:tcPr>
            <w:tcW w:w="1134" w:type="dxa"/>
            <w:gridSpan w:val="5"/>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250,00</w:t>
            </w:r>
          </w:p>
        </w:tc>
        <w:tc>
          <w:tcPr>
            <w:tcW w:w="113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992" w:type="dxa"/>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r w:rsidR="00AB0E52" w:rsidRPr="00AB0E52" w:rsidTr="00A00C97">
        <w:trPr>
          <w:cantSplit/>
          <w:trHeight w:val="2735"/>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Times New Roman" w:hAnsi="Times New Roman" w:cs="Times New Roman"/>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Cs/>
                <w:noProof/>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2024</w:t>
            </w:r>
          </w:p>
        </w:tc>
        <w:tc>
          <w:tcPr>
            <w:tcW w:w="992" w:type="dxa"/>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2024</w:t>
            </w:r>
          </w:p>
        </w:tc>
        <w:tc>
          <w:tcPr>
            <w:tcW w:w="993" w:type="dxa"/>
            <w:gridSpan w:val="3"/>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300,00</w:t>
            </w:r>
          </w:p>
        </w:tc>
        <w:tc>
          <w:tcPr>
            <w:tcW w:w="1134" w:type="dxa"/>
            <w:gridSpan w:val="5"/>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300,00</w:t>
            </w:r>
          </w:p>
        </w:tc>
        <w:tc>
          <w:tcPr>
            <w:tcW w:w="113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992" w:type="dxa"/>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r w:rsidR="00AB0E52" w:rsidRPr="00AB0E52" w:rsidTr="00A00C97">
        <w:trPr>
          <w:cantSplit/>
          <w:trHeight w:val="4630"/>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Times New Roman" w:hAnsi="Times New Roman" w:cs="Times New Roman"/>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Cs/>
                <w:noProof/>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 xml:space="preserve">     2025</w:t>
            </w:r>
          </w:p>
        </w:tc>
        <w:tc>
          <w:tcPr>
            <w:tcW w:w="1080"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 xml:space="preserve">   2025</w:t>
            </w:r>
          </w:p>
        </w:tc>
        <w:tc>
          <w:tcPr>
            <w:tcW w:w="924" w:type="dxa"/>
            <w:gridSpan w:val="4"/>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300,00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300,00</w:t>
            </w:r>
          </w:p>
        </w:tc>
        <w:tc>
          <w:tcPr>
            <w:tcW w:w="1128"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r w:rsidR="00AB0E52" w:rsidRPr="00AB0E52" w:rsidTr="00A00C97">
        <w:trPr>
          <w:cantSplit/>
          <w:trHeight w:val="20"/>
          <w:jc w:val="center"/>
        </w:trPr>
        <w:tc>
          <w:tcPr>
            <w:tcW w:w="558"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w:t>
            </w:r>
          </w:p>
        </w:tc>
        <w:tc>
          <w:tcPr>
            <w:tcW w:w="3853" w:type="dxa"/>
            <w:vMerge w:val="restart"/>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bCs/>
                <w:sz w:val="24"/>
                <w:szCs w:val="24"/>
                <w:lang w:eastAsia="ru-RU"/>
              </w:rPr>
            </w:pPr>
            <w:r w:rsidRPr="00AB0E52">
              <w:rPr>
                <w:rFonts w:ascii="Times New Roman" w:eastAsia="Times New Roman" w:hAnsi="Times New Roman" w:cs="Times New Roman"/>
                <w:sz w:val="24"/>
                <w:szCs w:val="24"/>
                <w:lang w:eastAsia="ru-RU"/>
              </w:rPr>
              <w:t>Підвищення ефективності управління бюджетними ресурсами при здійсненні Департаментом власних функцій, в тому числі придбання телекомунікаційного обладнання та послуг із супроводу програмного забезпечення, придбання палива (в т. ч. для роботи генератора за відсутності електроенергії), мастильних матеріалів, запчастин та комплектуючих, технічне обслуговування, ремонт та страхування  легкового автомобіля Департаменту, оренда приміщення Департаменту</w:t>
            </w:r>
          </w:p>
        </w:tc>
        <w:tc>
          <w:tcPr>
            <w:tcW w:w="1701"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bCs/>
                <w:noProof/>
                <w:sz w:val="24"/>
                <w:szCs w:val="24"/>
                <w:lang w:eastAsia="ru-RU"/>
              </w:rPr>
              <w:t>Департамент соціальної політики Івано-Франківської обласної державної адміністрації</w:t>
            </w: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2023-2025 роки в т.</w:t>
            </w:r>
            <w:r w:rsidR="009502DB">
              <w:rPr>
                <w:rFonts w:ascii="Times New Roman" w:eastAsia="Times New Roman" w:hAnsi="Times New Roman" w:cs="Times New Roman"/>
                <w:sz w:val="24"/>
                <w:szCs w:val="24"/>
                <w:lang w:eastAsia="ru-RU"/>
              </w:rPr>
              <w:t xml:space="preserve"> </w:t>
            </w:r>
            <w:r w:rsidRPr="00AB0E52">
              <w:rPr>
                <w:rFonts w:ascii="Times New Roman" w:eastAsia="Times New Roman" w:hAnsi="Times New Roman" w:cs="Times New Roman"/>
                <w:sz w:val="24"/>
                <w:szCs w:val="24"/>
                <w:lang w:eastAsia="ru-RU"/>
              </w:rPr>
              <w:t>ч.:</w:t>
            </w:r>
          </w:p>
        </w:tc>
        <w:tc>
          <w:tcPr>
            <w:tcW w:w="1080" w:type="dxa"/>
            <w:gridSpan w:val="2"/>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2023-2025 роки в т.</w:t>
            </w:r>
            <w:r w:rsidR="009502DB">
              <w:rPr>
                <w:rFonts w:ascii="Times New Roman" w:eastAsia="Times New Roman" w:hAnsi="Times New Roman" w:cs="Times New Roman"/>
                <w:sz w:val="24"/>
                <w:szCs w:val="24"/>
                <w:lang w:eastAsia="ru-RU"/>
              </w:rPr>
              <w:t xml:space="preserve"> </w:t>
            </w:r>
            <w:r w:rsidRPr="00AB0E52">
              <w:rPr>
                <w:rFonts w:ascii="Times New Roman" w:eastAsia="Times New Roman" w:hAnsi="Times New Roman" w:cs="Times New Roman"/>
                <w:sz w:val="24"/>
                <w:szCs w:val="24"/>
                <w:lang w:eastAsia="ru-RU"/>
              </w:rPr>
              <w:t>ч.:</w:t>
            </w:r>
          </w:p>
        </w:tc>
        <w:tc>
          <w:tcPr>
            <w:tcW w:w="924" w:type="dxa"/>
            <w:gridSpan w:val="4"/>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550,0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550,0</w:t>
            </w:r>
          </w:p>
        </w:tc>
        <w:tc>
          <w:tcPr>
            <w:tcW w:w="1128"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Підвищення мобільності працівників Департаменту при управлінні бюджетними ресурсами та відповідно підвищенні рівня якості прийняття управлінських рішень</w:t>
            </w:r>
          </w:p>
        </w:tc>
      </w:tr>
      <w:tr w:rsidR="00AB0E52" w:rsidRPr="00AB0E52" w:rsidTr="00A00C97">
        <w:trPr>
          <w:cantSplit/>
          <w:trHeight w:val="20"/>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Cs/>
                <w:noProof/>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w:t>
            </w:r>
          </w:p>
        </w:tc>
        <w:tc>
          <w:tcPr>
            <w:tcW w:w="1080" w:type="dxa"/>
            <w:gridSpan w:val="2"/>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w:t>
            </w:r>
          </w:p>
        </w:tc>
        <w:tc>
          <w:tcPr>
            <w:tcW w:w="924" w:type="dxa"/>
            <w:gridSpan w:val="4"/>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150,00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150,00</w:t>
            </w:r>
          </w:p>
        </w:tc>
        <w:tc>
          <w:tcPr>
            <w:tcW w:w="1128"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r w:rsidR="00AB0E52" w:rsidRPr="00AB0E52" w:rsidTr="00A00C97">
        <w:trPr>
          <w:cantSplit/>
          <w:trHeight w:val="20"/>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Cs/>
                <w:noProof/>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2024</w:t>
            </w:r>
          </w:p>
        </w:tc>
        <w:tc>
          <w:tcPr>
            <w:tcW w:w="1080" w:type="dxa"/>
            <w:gridSpan w:val="2"/>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2024</w:t>
            </w:r>
          </w:p>
        </w:tc>
        <w:tc>
          <w:tcPr>
            <w:tcW w:w="924" w:type="dxa"/>
            <w:gridSpan w:val="4"/>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200,00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200,00</w:t>
            </w:r>
          </w:p>
        </w:tc>
        <w:tc>
          <w:tcPr>
            <w:tcW w:w="1128"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r w:rsidR="00AB0E52" w:rsidRPr="00AB0E52" w:rsidTr="00A00C97">
        <w:trPr>
          <w:cantSplit/>
          <w:trHeight w:val="20"/>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Cs/>
                <w:noProof/>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2025</w:t>
            </w:r>
          </w:p>
        </w:tc>
        <w:tc>
          <w:tcPr>
            <w:tcW w:w="1080" w:type="dxa"/>
            <w:gridSpan w:val="2"/>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2025</w:t>
            </w:r>
          </w:p>
        </w:tc>
        <w:tc>
          <w:tcPr>
            <w:tcW w:w="924" w:type="dxa"/>
            <w:gridSpan w:val="4"/>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200,00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200,00</w:t>
            </w:r>
          </w:p>
        </w:tc>
        <w:tc>
          <w:tcPr>
            <w:tcW w:w="1128"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r w:rsidR="00AB0E52" w:rsidRPr="00AB0E52" w:rsidTr="00A00C97">
        <w:trPr>
          <w:cantSplit/>
          <w:trHeight w:val="1050"/>
          <w:jc w:val="center"/>
        </w:trPr>
        <w:tc>
          <w:tcPr>
            <w:tcW w:w="558"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lastRenderedPageBreak/>
              <w:t>3.</w:t>
            </w:r>
          </w:p>
        </w:tc>
        <w:tc>
          <w:tcPr>
            <w:tcW w:w="3853" w:type="dxa"/>
            <w:vMerge w:val="restart"/>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Проведення Департаментом інформаційно-роз’яснювальної роботи з актуальних питань законодавства у сфері соціальної політики серед розпорядників бюджетних коштів та одержувачів всіх видів державних соціальних допомог (придбання телекомунікаційних послуг, розміщення інформації на веб-вузлах, користування мережею Інтернет та місцевим телефонним зв’язком)</w:t>
            </w:r>
          </w:p>
        </w:tc>
        <w:tc>
          <w:tcPr>
            <w:tcW w:w="1701"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bCs/>
                <w:noProof/>
                <w:sz w:val="24"/>
                <w:szCs w:val="24"/>
                <w:lang w:eastAsia="ru-RU"/>
              </w:rPr>
              <w:t>Департамент соціальної політики Івано-Франківської обласної державної адміністрації</w:t>
            </w: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2023-2025 роки в т.</w:t>
            </w:r>
            <w:r w:rsidR="009502DB">
              <w:rPr>
                <w:rFonts w:ascii="Times New Roman" w:eastAsia="Times New Roman" w:hAnsi="Times New Roman" w:cs="Times New Roman"/>
                <w:sz w:val="24"/>
                <w:szCs w:val="24"/>
                <w:lang w:eastAsia="ru-RU"/>
              </w:rPr>
              <w:t xml:space="preserve"> </w:t>
            </w:r>
            <w:r w:rsidRPr="00AB0E52">
              <w:rPr>
                <w:rFonts w:ascii="Times New Roman" w:eastAsia="Times New Roman" w:hAnsi="Times New Roman" w:cs="Times New Roman"/>
                <w:sz w:val="24"/>
                <w:szCs w:val="24"/>
                <w:lang w:eastAsia="ru-RU"/>
              </w:rPr>
              <w:t>ч.:</w:t>
            </w:r>
          </w:p>
        </w:tc>
        <w:tc>
          <w:tcPr>
            <w:tcW w:w="1092" w:type="dxa"/>
            <w:gridSpan w:val="3"/>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2023-2025 роки в т.</w:t>
            </w:r>
            <w:r w:rsidR="009502DB">
              <w:rPr>
                <w:rFonts w:ascii="Times New Roman" w:eastAsia="Times New Roman" w:hAnsi="Times New Roman" w:cs="Times New Roman"/>
                <w:sz w:val="24"/>
                <w:szCs w:val="24"/>
                <w:lang w:eastAsia="ru-RU"/>
              </w:rPr>
              <w:t xml:space="preserve"> </w:t>
            </w:r>
            <w:bookmarkStart w:id="0" w:name="_GoBack"/>
            <w:bookmarkEnd w:id="0"/>
            <w:r w:rsidRPr="00AB0E52">
              <w:rPr>
                <w:rFonts w:ascii="Times New Roman" w:eastAsia="Times New Roman" w:hAnsi="Times New Roman" w:cs="Times New Roman"/>
                <w:sz w:val="24"/>
                <w:szCs w:val="24"/>
                <w:lang w:eastAsia="ru-RU"/>
              </w:rPr>
              <w:t>ч.:</w:t>
            </w:r>
          </w:p>
        </w:tc>
        <w:tc>
          <w:tcPr>
            <w:tcW w:w="900"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300,0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300,0</w:t>
            </w:r>
          </w:p>
        </w:tc>
        <w:tc>
          <w:tcPr>
            <w:tcW w:w="1140" w:type="dxa"/>
            <w:gridSpan w:val="3"/>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val="restart"/>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 xml:space="preserve">Підвищення рівня </w:t>
            </w:r>
            <w:proofErr w:type="spellStart"/>
            <w:r w:rsidRPr="00AB0E52">
              <w:rPr>
                <w:rFonts w:ascii="Times New Roman" w:eastAsia="Times New Roman" w:hAnsi="Times New Roman" w:cs="Times New Roman"/>
                <w:sz w:val="24"/>
                <w:szCs w:val="24"/>
                <w:lang w:eastAsia="ru-RU"/>
              </w:rPr>
              <w:t>поінформова-ності</w:t>
            </w:r>
            <w:proofErr w:type="spellEnd"/>
            <w:r w:rsidRPr="00AB0E52">
              <w:rPr>
                <w:rFonts w:ascii="Times New Roman" w:eastAsia="Times New Roman" w:hAnsi="Times New Roman" w:cs="Times New Roman"/>
                <w:sz w:val="24"/>
                <w:szCs w:val="24"/>
                <w:lang w:eastAsia="ru-RU"/>
              </w:rPr>
              <w:t xml:space="preserve"> населення щодо надання соціальних послуг та всіх видів допомог</w:t>
            </w:r>
          </w:p>
        </w:tc>
      </w:tr>
      <w:tr w:rsidR="00AB0E52" w:rsidRPr="00AB0E52" w:rsidTr="00A00C97">
        <w:trPr>
          <w:cantSplit/>
          <w:trHeight w:val="404"/>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Cs/>
                <w:noProof/>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w:t>
            </w:r>
          </w:p>
        </w:tc>
        <w:tc>
          <w:tcPr>
            <w:tcW w:w="1092" w:type="dxa"/>
            <w:gridSpan w:val="3"/>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2023</w:t>
            </w:r>
          </w:p>
        </w:tc>
        <w:tc>
          <w:tcPr>
            <w:tcW w:w="900"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100,00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100,00</w:t>
            </w:r>
          </w:p>
        </w:tc>
        <w:tc>
          <w:tcPr>
            <w:tcW w:w="1140" w:type="dxa"/>
            <w:gridSpan w:val="3"/>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r w:rsidR="00AB0E52" w:rsidRPr="00AB0E52" w:rsidTr="00A00C97">
        <w:trPr>
          <w:cantSplit/>
          <w:trHeight w:val="411"/>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Cs/>
                <w:noProof/>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2024</w:t>
            </w:r>
          </w:p>
        </w:tc>
        <w:tc>
          <w:tcPr>
            <w:tcW w:w="1092" w:type="dxa"/>
            <w:gridSpan w:val="3"/>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2024</w:t>
            </w:r>
          </w:p>
        </w:tc>
        <w:tc>
          <w:tcPr>
            <w:tcW w:w="900"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100,00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100,00</w:t>
            </w:r>
          </w:p>
        </w:tc>
        <w:tc>
          <w:tcPr>
            <w:tcW w:w="1140" w:type="dxa"/>
            <w:gridSpan w:val="3"/>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r w:rsidR="00AB0E52" w:rsidRPr="00AB0E52" w:rsidTr="00A00C97">
        <w:trPr>
          <w:cantSplit/>
          <w:trHeight w:val="417"/>
          <w:jc w:val="center"/>
        </w:trPr>
        <w:tc>
          <w:tcPr>
            <w:tcW w:w="558"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p>
        </w:tc>
        <w:tc>
          <w:tcPr>
            <w:tcW w:w="3853" w:type="dxa"/>
            <w:vMerge/>
            <w:shd w:val="clear" w:color="auto" w:fill="auto"/>
            <w:vAlign w:val="center"/>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
              <w:outlineLvl w:val="0"/>
              <w:rPr>
                <w:rFonts w:ascii="Times New Roman" w:eastAsia="Times New Roman" w:hAnsi="Times New Roman" w:cs="Times New Roman"/>
                <w:sz w:val="24"/>
                <w:szCs w:val="24"/>
                <w:lang w:eastAsia="ru-RU"/>
              </w:rPr>
            </w:pPr>
          </w:p>
        </w:tc>
        <w:tc>
          <w:tcPr>
            <w:tcW w:w="1701"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Cs/>
                <w:noProof/>
                <w:sz w:val="24"/>
                <w:szCs w:val="24"/>
                <w:lang w:eastAsia="ru-RU"/>
              </w:rPr>
            </w:pPr>
          </w:p>
        </w:tc>
        <w:tc>
          <w:tcPr>
            <w:tcW w:w="1417" w:type="dxa"/>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2025</w:t>
            </w:r>
          </w:p>
        </w:tc>
        <w:tc>
          <w:tcPr>
            <w:tcW w:w="1092" w:type="dxa"/>
            <w:gridSpan w:val="3"/>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4"/>
                <w:szCs w:val="24"/>
                <w:lang w:eastAsia="ru-RU"/>
              </w:rPr>
            </w:pPr>
            <w:r w:rsidRPr="00AB0E52">
              <w:rPr>
                <w:rFonts w:ascii="Times New Roman" w:eastAsia="Times New Roman" w:hAnsi="Times New Roman" w:cs="Times New Roman"/>
                <w:sz w:val="24"/>
                <w:szCs w:val="24"/>
                <w:lang w:eastAsia="ru-RU"/>
              </w:rPr>
              <w:t>2025</w:t>
            </w:r>
          </w:p>
        </w:tc>
        <w:tc>
          <w:tcPr>
            <w:tcW w:w="900"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100,00</w:t>
            </w:r>
          </w:p>
        </w:tc>
        <w:tc>
          <w:tcPr>
            <w:tcW w:w="1104"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r w:rsidRPr="00AB0E52">
              <w:rPr>
                <w:rFonts w:ascii="Times New Roman" w:eastAsia="Times New Roman" w:hAnsi="Times New Roman" w:cs="Times New Roman"/>
                <w:noProof/>
                <w:sz w:val="24"/>
                <w:szCs w:val="24"/>
                <w:lang w:eastAsia="ru-RU"/>
              </w:rPr>
              <w:t>100,00</w:t>
            </w:r>
          </w:p>
        </w:tc>
        <w:tc>
          <w:tcPr>
            <w:tcW w:w="1140" w:type="dxa"/>
            <w:gridSpan w:val="3"/>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009" w:type="dxa"/>
            <w:gridSpan w:val="2"/>
            <w:shd w:val="clear" w:color="auto" w:fill="auto"/>
          </w:tcPr>
          <w:p w:rsidR="00AB0E52" w:rsidRPr="00AB0E52" w:rsidRDefault="00AB0E52" w:rsidP="00AB0E52">
            <w:pPr>
              <w:tabs>
                <w:tab w:val="left" w:pos="-420"/>
              </w:tabs>
              <w:autoSpaceDE w:val="0"/>
              <w:autoSpaceDN w:val="0"/>
              <w:adjustRightInd w:val="0"/>
              <w:spacing w:before="40" w:after="40" w:line="240" w:lineRule="auto"/>
              <w:ind w:left="-145" w:right="-108"/>
              <w:jc w:val="center"/>
              <w:rPr>
                <w:rFonts w:ascii="Times New Roman" w:eastAsia="Times New Roman" w:hAnsi="Times New Roman" w:cs="Times New Roman"/>
                <w:noProof/>
                <w:sz w:val="24"/>
                <w:szCs w:val="24"/>
                <w:lang w:eastAsia="ru-RU"/>
              </w:rPr>
            </w:pPr>
          </w:p>
        </w:tc>
        <w:tc>
          <w:tcPr>
            <w:tcW w:w="1827" w:type="dxa"/>
            <w:vMerge/>
            <w:shd w:val="clear" w:color="auto" w:fill="auto"/>
          </w:tcPr>
          <w:p w:rsidR="00AB0E52" w:rsidRPr="00AB0E52" w:rsidRDefault="00AB0E52" w:rsidP="00AB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
        </w:tc>
      </w:tr>
    </w:tbl>
    <w:p w:rsidR="00AB0E52" w:rsidRPr="00AB0E52" w:rsidRDefault="00AB0E52" w:rsidP="00AB0E52">
      <w:pPr>
        <w:spacing w:after="0" w:line="240" w:lineRule="auto"/>
        <w:jc w:val="both"/>
        <w:rPr>
          <w:rFonts w:ascii="Times New Roman" w:eastAsia="Times New Roman" w:hAnsi="Times New Roman" w:cs="Times New Roman"/>
          <w:sz w:val="24"/>
          <w:szCs w:val="24"/>
          <w:lang w:eastAsia="ru-RU"/>
        </w:rPr>
      </w:pPr>
    </w:p>
    <w:p w:rsidR="00AB0E52" w:rsidRPr="00AB0E52" w:rsidRDefault="00AB0E52" w:rsidP="00AB0E52">
      <w:pPr>
        <w:spacing w:after="0" w:line="240" w:lineRule="auto"/>
        <w:jc w:val="both"/>
        <w:rPr>
          <w:rFonts w:ascii="Times New Roman" w:eastAsia="Times New Roman" w:hAnsi="Times New Roman" w:cs="Times New Roman"/>
          <w:sz w:val="24"/>
          <w:szCs w:val="24"/>
          <w:lang w:eastAsia="ru-RU"/>
        </w:rPr>
      </w:pPr>
    </w:p>
    <w:p w:rsidR="00AB0E52" w:rsidRPr="00AB0E52" w:rsidRDefault="00AB0E52" w:rsidP="00AB0E52">
      <w:pPr>
        <w:spacing w:after="0" w:line="240" w:lineRule="auto"/>
        <w:jc w:val="both"/>
        <w:rPr>
          <w:rFonts w:ascii="Times New Roman" w:eastAsia="Times New Roman" w:hAnsi="Times New Roman" w:cs="Times New Roman"/>
          <w:b/>
          <w:sz w:val="28"/>
          <w:szCs w:val="28"/>
          <w:lang w:eastAsia="ru-RU"/>
        </w:rPr>
      </w:pPr>
    </w:p>
    <w:p w:rsidR="00AB0E52" w:rsidRPr="00AB0E52" w:rsidRDefault="00AB0E52" w:rsidP="00AB0E52">
      <w:pPr>
        <w:spacing w:after="0" w:line="240" w:lineRule="auto"/>
        <w:jc w:val="both"/>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 xml:space="preserve">Директор департаменту </w:t>
      </w:r>
    </w:p>
    <w:p w:rsidR="00AB0E52" w:rsidRPr="00AB0E52" w:rsidRDefault="00AB0E52" w:rsidP="00AB0E52">
      <w:pPr>
        <w:spacing w:after="0" w:line="240" w:lineRule="auto"/>
        <w:jc w:val="both"/>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 xml:space="preserve">соціальної політики </w:t>
      </w:r>
    </w:p>
    <w:p w:rsidR="00AB0E52" w:rsidRPr="00AB0E52" w:rsidRDefault="00AB0E52" w:rsidP="00AB0E52">
      <w:pPr>
        <w:spacing w:after="0" w:line="240" w:lineRule="auto"/>
        <w:jc w:val="both"/>
        <w:rPr>
          <w:rFonts w:ascii="Times New Roman" w:eastAsia="Times New Roman" w:hAnsi="Times New Roman" w:cs="Times New Roman"/>
          <w:b/>
          <w:sz w:val="28"/>
          <w:szCs w:val="28"/>
          <w:lang w:eastAsia="ru-RU"/>
        </w:rPr>
      </w:pPr>
      <w:r w:rsidRPr="00AB0E52">
        <w:rPr>
          <w:rFonts w:ascii="Times New Roman" w:eastAsia="Times New Roman" w:hAnsi="Times New Roman" w:cs="Times New Roman"/>
          <w:b/>
          <w:sz w:val="28"/>
          <w:szCs w:val="28"/>
          <w:lang w:eastAsia="ru-RU"/>
        </w:rPr>
        <w:t>Івано-Франківської</w:t>
      </w:r>
    </w:p>
    <w:p w:rsidR="00AB0E52" w:rsidRPr="00AB0E52" w:rsidRDefault="00AB0E52" w:rsidP="00AB0E52">
      <w:pPr>
        <w:spacing w:after="0" w:line="240" w:lineRule="auto"/>
        <w:jc w:val="both"/>
        <w:rPr>
          <w:rFonts w:ascii="Times New Roman" w:eastAsia="Times New Roman" w:hAnsi="Times New Roman" w:cs="Times New Roman"/>
          <w:b/>
          <w:sz w:val="28"/>
          <w:szCs w:val="28"/>
          <w:lang w:val="en-US" w:eastAsia="ru-RU"/>
        </w:rPr>
      </w:pPr>
      <w:r w:rsidRPr="00AB0E52">
        <w:rPr>
          <w:rFonts w:ascii="Times New Roman" w:eastAsia="Times New Roman" w:hAnsi="Times New Roman" w:cs="Times New Roman"/>
          <w:b/>
          <w:sz w:val="28"/>
          <w:szCs w:val="28"/>
          <w:lang w:eastAsia="ru-RU"/>
        </w:rPr>
        <w:t xml:space="preserve">обласної державної адміністрації                                                                                                                Володимир </w:t>
      </w:r>
      <w:r w:rsidR="00C54A64">
        <w:rPr>
          <w:rFonts w:ascii="Times New Roman" w:eastAsia="Times New Roman" w:hAnsi="Times New Roman" w:cs="Times New Roman"/>
          <w:b/>
          <w:sz w:val="28"/>
          <w:szCs w:val="28"/>
          <w:lang w:eastAsia="ru-RU"/>
        </w:rPr>
        <w:t>ЛЕМЧАК</w:t>
      </w:r>
    </w:p>
    <w:p w:rsidR="00AB0E52" w:rsidRPr="00AB0E52" w:rsidRDefault="00AB0E52" w:rsidP="00AB0E52">
      <w:pPr>
        <w:spacing w:after="0" w:line="240" w:lineRule="auto"/>
        <w:jc w:val="both"/>
        <w:rPr>
          <w:rFonts w:ascii="Times New Roman" w:eastAsia="Times New Roman" w:hAnsi="Times New Roman" w:cs="Times New Roman"/>
          <w:b/>
          <w:sz w:val="28"/>
          <w:szCs w:val="28"/>
          <w:lang w:val="en-US" w:eastAsia="ru-RU"/>
        </w:rPr>
      </w:pPr>
    </w:p>
    <w:p w:rsidR="00757243" w:rsidRDefault="00757243"/>
    <w:sectPr w:rsidR="00757243" w:rsidSect="00AB0E52">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52"/>
    <w:rsid w:val="00010B61"/>
    <w:rsid w:val="002324DF"/>
    <w:rsid w:val="00403306"/>
    <w:rsid w:val="005233BC"/>
    <w:rsid w:val="00757243"/>
    <w:rsid w:val="009502DB"/>
    <w:rsid w:val="00AB0E52"/>
    <w:rsid w:val="00C54A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494BC-99D0-41B1-8B31-66F6593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2440</Words>
  <Characters>1392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dcterms:created xsi:type="dcterms:W3CDTF">2023-02-05T16:00:00Z</dcterms:created>
  <dcterms:modified xsi:type="dcterms:W3CDTF">2023-02-05T16:04:00Z</dcterms:modified>
</cp:coreProperties>
</file>