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87A71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7A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4254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335508" w:rsidRDefault="00335508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B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9B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9B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882FB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cnap.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335508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B612F" w:rsidRDefault="009B612F" w:rsidP="009B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9B612F" w:rsidRDefault="009B612F" w:rsidP="009B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12F" w:rsidRDefault="009B612F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B4254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B4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492B11" w:rsidRPr="009B612F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B4254" w:rsidRDefault="00BB42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B2086" w:rsidRPr="005B2086" w:rsidRDefault="0054727E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B4254" w:rsidRPr="0004256F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B4254" w:rsidRPr="004359A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BB4254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BB4254" w:rsidRPr="005937E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B4254" w:rsidRPr="00AB7E05" w:rsidRDefault="00BB4254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B4254" w:rsidRPr="0079110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B425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B4254" w:rsidRPr="00E00CAD" w:rsidRDefault="00BB4254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B4254" w:rsidRPr="00E00CAD" w:rsidRDefault="00BB4254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 – 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B425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B425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F7" w:rsidRDefault="003049F7" w:rsidP="00480348">
      <w:pPr>
        <w:spacing w:after="0" w:line="240" w:lineRule="auto"/>
      </w:pPr>
      <w:r>
        <w:separator/>
      </w:r>
    </w:p>
  </w:endnote>
  <w:endnote w:type="continuationSeparator" w:id="0">
    <w:p w:rsidR="003049F7" w:rsidRDefault="003049F7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F7" w:rsidRDefault="003049F7" w:rsidP="00480348">
      <w:pPr>
        <w:spacing w:after="0" w:line="240" w:lineRule="auto"/>
      </w:pPr>
      <w:r>
        <w:separator/>
      </w:r>
    </w:p>
  </w:footnote>
  <w:footnote w:type="continuationSeparator" w:id="0">
    <w:p w:rsidR="003049F7" w:rsidRDefault="003049F7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71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87A71"/>
    <w:rsid w:val="002B2A40"/>
    <w:rsid w:val="002B51A1"/>
    <w:rsid w:val="002C5857"/>
    <w:rsid w:val="002D6FA3"/>
    <w:rsid w:val="003049F7"/>
    <w:rsid w:val="00322B57"/>
    <w:rsid w:val="00330D87"/>
    <w:rsid w:val="00335508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B612F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BB4254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F5257-E50A-4D61-9044-A5660483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DC9B-140F-4865-BCBC-858424A7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11924</Words>
  <Characters>6797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