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19" w:rsidRDefault="00E84FCE" w:rsidP="00E75F19">
      <w:pPr>
        <w:ind w:left="9072"/>
        <w:jc w:val="left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 xml:space="preserve">Додаток </w:t>
      </w:r>
    </w:p>
    <w:p w:rsidR="00510AAC" w:rsidRPr="00565925" w:rsidRDefault="00301B5F" w:rsidP="00E75F19">
      <w:pPr>
        <w:ind w:left="9072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до розпорядження</w:t>
      </w:r>
      <w:r w:rsidR="003E45CA">
        <w:rPr>
          <w:rFonts w:cs="Times New Roman"/>
          <w:b/>
          <w:szCs w:val="28"/>
        </w:rPr>
        <w:t xml:space="preserve"> Івано-Франківської </w:t>
      </w:r>
      <w:r>
        <w:rPr>
          <w:rFonts w:cs="Times New Roman"/>
          <w:b/>
          <w:szCs w:val="28"/>
        </w:rPr>
        <w:t>обл</w:t>
      </w:r>
      <w:r w:rsidR="003E45CA">
        <w:rPr>
          <w:rFonts w:cs="Times New Roman"/>
          <w:b/>
          <w:szCs w:val="28"/>
        </w:rPr>
        <w:t xml:space="preserve">асної </w:t>
      </w:r>
      <w:r>
        <w:rPr>
          <w:rFonts w:cs="Times New Roman"/>
          <w:b/>
          <w:szCs w:val="28"/>
        </w:rPr>
        <w:t>держ</w:t>
      </w:r>
      <w:r w:rsidR="003E45CA">
        <w:rPr>
          <w:rFonts w:cs="Times New Roman"/>
          <w:b/>
          <w:szCs w:val="28"/>
        </w:rPr>
        <w:t xml:space="preserve">авної </w:t>
      </w:r>
      <w:r>
        <w:rPr>
          <w:rFonts w:cs="Times New Roman"/>
          <w:b/>
          <w:szCs w:val="28"/>
        </w:rPr>
        <w:t>адміністрації</w:t>
      </w:r>
      <w:r w:rsidR="00E84FCE">
        <w:rPr>
          <w:rFonts w:cs="Times New Roman"/>
          <w:b/>
          <w:szCs w:val="28"/>
        </w:rPr>
        <w:t xml:space="preserve"> </w:t>
      </w:r>
      <w:r w:rsidR="003E45CA">
        <w:rPr>
          <w:rFonts w:cs="Times New Roman"/>
          <w:b/>
          <w:szCs w:val="28"/>
        </w:rPr>
        <w:t xml:space="preserve">від 18.05.2021 </w:t>
      </w:r>
      <w:r w:rsidR="00514E54">
        <w:rPr>
          <w:rFonts w:cs="Times New Roman"/>
          <w:b/>
          <w:szCs w:val="28"/>
        </w:rPr>
        <w:t>№ 174</w:t>
      </w:r>
      <w:r w:rsidR="00E84FCE">
        <w:rPr>
          <w:rFonts w:cs="Times New Roman"/>
          <w:b/>
          <w:szCs w:val="28"/>
        </w:rPr>
        <w:t xml:space="preserve"> </w:t>
      </w:r>
      <w:r w:rsidR="00565925">
        <w:rPr>
          <w:rFonts w:cs="Times New Roman"/>
          <w:b/>
          <w:szCs w:val="28"/>
        </w:rPr>
        <w:t>(</w:t>
      </w:r>
      <w:r w:rsidR="004E2809">
        <w:rPr>
          <w:rFonts w:cs="Times New Roman"/>
          <w:b/>
          <w:szCs w:val="28"/>
        </w:rPr>
        <w:t>у</w:t>
      </w:r>
      <w:r w:rsidR="003E45CA">
        <w:rPr>
          <w:rFonts w:cs="Times New Roman"/>
          <w:b/>
          <w:szCs w:val="28"/>
        </w:rPr>
        <w:t xml:space="preserve"> редакції розпорядження </w:t>
      </w:r>
      <w:r w:rsidR="00565925">
        <w:rPr>
          <w:rFonts w:cs="Times New Roman"/>
          <w:b/>
          <w:szCs w:val="28"/>
        </w:rPr>
        <w:t>Івано-Франківської о</w:t>
      </w:r>
      <w:r w:rsidR="005C6DE2">
        <w:rPr>
          <w:rFonts w:cs="Times New Roman"/>
          <w:b/>
          <w:szCs w:val="28"/>
        </w:rPr>
        <w:t>бласної державної адміністрації</w:t>
      </w:r>
      <w:r w:rsidR="00E84FCE">
        <w:rPr>
          <w:rFonts w:cs="Times New Roman"/>
          <w:b/>
          <w:szCs w:val="28"/>
        </w:rPr>
        <w:t xml:space="preserve"> </w:t>
      </w:r>
      <w:r w:rsidRPr="00301B5F">
        <w:rPr>
          <w:rFonts w:cs="Times New Roman"/>
          <w:b/>
          <w:szCs w:val="28"/>
        </w:rPr>
        <w:t xml:space="preserve">від </w:t>
      </w:r>
      <w:r w:rsidR="00F076E0" w:rsidRPr="00F076E0">
        <w:rPr>
          <w:rFonts w:cs="Times New Roman"/>
          <w:b/>
          <w:szCs w:val="28"/>
        </w:rPr>
        <w:t xml:space="preserve">04.10.2021 </w:t>
      </w:r>
      <w:r w:rsidR="00510AAC" w:rsidRPr="00F076E0">
        <w:rPr>
          <w:rFonts w:cs="Times New Roman"/>
          <w:b/>
          <w:szCs w:val="28"/>
        </w:rPr>
        <w:t>№</w:t>
      </w:r>
      <w:r w:rsidRPr="00E75F19">
        <w:rPr>
          <w:rFonts w:cs="Times New Roman"/>
          <w:b/>
          <w:szCs w:val="28"/>
        </w:rPr>
        <w:t xml:space="preserve"> </w:t>
      </w:r>
      <w:r w:rsidR="00F076E0" w:rsidRPr="00F076E0">
        <w:rPr>
          <w:rFonts w:cs="Times New Roman"/>
          <w:b/>
          <w:szCs w:val="28"/>
        </w:rPr>
        <w:t>371</w:t>
      </w:r>
      <w:r w:rsidR="00565925" w:rsidRPr="00EC773D">
        <w:rPr>
          <w:rFonts w:cs="Times New Roman"/>
          <w:b/>
          <w:szCs w:val="28"/>
        </w:rPr>
        <w:t>)</w:t>
      </w:r>
    </w:p>
    <w:p w:rsidR="00510AAC" w:rsidRDefault="00510AAC" w:rsidP="007F1F70">
      <w:pPr>
        <w:ind w:firstLine="9498"/>
        <w:rPr>
          <w:rFonts w:cs="Times New Roman"/>
          <w:b/>
          <w:szCs w:val="28"/>
        </w:rPr>
      </w:pPr>
    </w:p>
    <w:p w:rsidR="005F0F96" w:rsidRDefault="005F0F96" w:rsidP="005F0F96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510AAC" w:rsidRPr="00510AAC">
        <w:rPr>
          <w:b/>
          <w:szCs w:val="28"/>
        </w:rPr>
        <w:t>ідп</w:t>
      </w:r>
      <w:r w:rsidR="00510AAC">
        <w:rPr>
          <w:b/>
          <w:szCs w:val="28"/>
        </w:rPr>
        <w:t>овідальні за подання інформації</w:t>
      </w:r>
      <w:r>
        <w:rPr>
          <w:b/>
          <w:szCs w:val="28"/>
        </w:rPr>
        <w:t xml:space="preserve"> </w:t>
      </w:r>
      <w:r w:rsidR="00510AAC" w:rsidRPr="00510AAC">
        <w:rPr>
          <w:b/>
          <w:szCs w:val="28"/>
        </w:rPr>
        <w:t>за пока</w:t>
      </w:r>
      <w:r>
        <w:rPr>
          <w:b/>
          <w:szCs w:val="28"/>
        </w:rPr>
        <w:t>зниками</w:t>
      </w:r>
    </w:p>
    <w:p w:rsidR="00510AAC" w:rsidRPr="00510AAC" w:rsidRDefault="005F0F96" w:rsidP="005F0F96">
      <w:pPr>
        <w:jc w:val="center"/>
        <w:rPr>
          <w:b/>
          <w:szCs w:val="28"/>
        </w:rPr>
      </w:pPr>
      <w:r>
        <w:rPr>
          <w:b/>
          <w:szCs w:val="28"/>
        </w:rPr>
        <w:t xml:space="preserve">ефективності діяльності </w:t>
      </w:r>
      <w:r w:rsidR="00510AAC" w:rsidRPr="00510AAC">
        <w:rPr>
          <w:b/>
          <w:szCs w:val="28"/>
        </w:rPr>
        <w:t>голови Івано-Франківської обласної державної адміністрації</w:t>
      </w:r>
    </w:p>
    <w:p w:rsidR="00510AAC" w:rsidRDefault="00510AAC"/>
    <w:tbl>
      <w:tblPr>
        <w:tblW w:w="14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155"/>
        <w:gridCol w:w="6402"/>
        <w:gridCol w:w="3534"/>
      </w:tblGrid>
      <w:tr w:rsidR="00510AAC" w:rsidRPr="008C45FB" w:rsidTr="00C526F6">
        <w:trPr>
          <w:trHeight w:val="660"/>
        </w:trPr>
        <w:tc>
          <w:tcPr>
            <w:tcW w:w="518" w:type="dxa"/>
            <w:shd w:val="clear" w:color="auto" w:fill="auto"/>
            <w:vAlign w:val="center"/>
            <w:hideMark/>
          </w:tcPr>
          <w:p w:rsidR="00510AAC" w:rsidRPr="008C45FB" w:rsidRDefault="00510AAC" w:rsidP="00510AAC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C45FB"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  <w:t>№</w:t>
            </w:r>
            <w:r w:rsidR="008729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4155" w:type="dxa"/>
            <w:shd w:val="clear" w:color="auto" w:fill="auto"/>
            <w:vAlign w:val="center"/>
            <w:hideMark/>
          </w:tcPr>
          <w:p w:rsidR="00510AAC" w:rsidRPr="008C45FB" w:rsidRDefault="00510AAC" w:rsidP="00510AAC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C45FB"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:rsidR="00510AAC" w:rsidRPr="008C45FB" w:rsidRDefault="00510AAC" w:rsidP="00510AAC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C45FB"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Інформація за показником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510AAC" w:rsidRPr="008C45FB" w:rsidRDefault="005F0F96" w:rsidP="005F0F96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uk-UA"/>
              </w:rPr>
              <w:t>Відповідальні виконавці</w:t>
            </w:r>
          </w:p>
        </w:tc>
      </w:tr>
      <w:tr w:rsidR="00510AAC" w:rsidRPr="001F23AD" w:rsidTr="00C526F6">
        <w:trPr>
          <w:trHeight w:val="628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10AAC" w:rsidRPr="001F23AD" w:rsidRDefault="00510AAC" w:rsidP="00510AA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7F1F70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дітей віком від трьох до шести років, охоплених дошкільною освітою</w:t>
            </w:r>
          </w:p>
        </w:tc>
        <w:tc>
          <w:tcPr>
            <w:tcW w:w="6402" w:type="dxa"/>
            <w:shd w:val="clear" w:color="auto" w:fill="auto"/>
            <w:hideMark/>
          </w:tcPr>
          <w:p w:rsidR="00510AAC" w:rsidRPr="001F23AD" w:rsidRDefault="0086398F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загальна </w:t>
            </w:r>
            <w:r w:rsidR="00510AAC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дітей віком від трьох до шести років станом на останній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510AAC" w:rsidRPr="001F23AD" w:rsidRDefault="00510AAC" w:rsidP="008B7BD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Департамент освіти, науки та молодіжної політики облдержадміністрації</w:t>
            </w:r>
          </w:p>
        </w:tc>
      </w:tr>
      <w:tr w:rsidR="00510AAC" w:rsidRPr="001F23AD" w:rsidTr="00C526F6">
        <w:trPr>
          <w:trHeight w:val="566"/>
        </w:trPr>
        <w:tc>
          <w:tcPr>
            <w:tcW w:w="518" w:type="dxa"/>
            <w:vMerge/>
            <w:vAlign w:val="center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дітей віком від трьох до шести років, охоплених дошкільною освітою,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510AAC" w:rsidRPr="001F23AD" w:rsidRDefault="00510AAC" w:rsidP="008B7BD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10AAC" w:rsidRPr="001F23AD" w:rsidTr="00C526F6">
        <w:trPr>
          <w:trHeight w:val="830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10AAC" w:rsidRPr="001F23AD" w:rsidRDefault="00510AAC" w:rsidP="00510AA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4D6138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дітей з особливими освітніми потребами, охоплених інклюзивним навчанням</w:t>
            </w:r>
            <w:r w:rsidR="0086398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, у тому числі у спеціальних класах закладів загальної середньої освіти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(крім дітей, яким протипоказано відвідувати заклади освіти за станом здоров’я)</w:t>
            </w:r>
          </w:p>
        </w:tc>
        <w:tc>
          <w:tcPr>
            <w:tcW w:w="6402" w:type="dxa"/>
            <w:shd w:val="clear" w:color="auto" w:fill="auto"/>
            <w:hideMark/>
          </w:tcPr>
          <w:p w:rsidR="00510AAC" w:rsidRPr="001F23AD" w:rsidRDefault="0086398F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загальна </w:t>
            </w:r>
            <w:r w:rsidR="00510AAC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дітей з особливими освітніми потребами (крім дітей, яким протипоказано відвідувати заклади освіти за станом здоров’я) станом на останній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510AAC" w:rsidRPr="001F23AD" w:rsidRDefault="00510AAC" w:rsidP="008B7BD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Департамент освіти, науки та молодіжної політики облдержадміністрації</w:t>
            </w:r>
          </w:p>
        </w:tc>
      </w:tr>
      <w:tr w:rsidR="00510AAC" w:rsidRPr="001F23AD" w:rsidTr="00C526F6">
        <w:trPr>
          <w:trHeight w:val="1125"/>
        </w:trPr>
        <w:tc>
          <w:tcPr>
            <w:tcW w:w="518" w:type="dxa"/>
            <w:vMerge/>
            <w:vAlign w:val="center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дітей з особливими освітніми потребами, охоплених інклюзивним навчанням</w:t>
            </w:r>
            <w:r w:rsidR="0086398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, у тому числі у спеціальних класах закладів загальної середньої освіти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(крім дітей, яким протипоказано відвідувати заклади освіти за станом здоров’я),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510AAC" w:rsidRPr="001F23AD" w:rsidRDefault="00510AAC" w:rsidP="008B7BD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10AAC" w:rsidRPr="001F23AD" w:rsidTr="00C526F6">
        <w:trPr>
          <w:trHeight w:val="841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10AAC" w:rsidRPr="001F23AD" w:rsidRDefault="00510AAC" w:rsidP="00510AA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4D6138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учнів, які проживають у сільських населених пунктах (селах, селищах), охоплених навчанням в 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опорних закладах загальної середньої освіти та їх структурних підрозділах (філіях)</w:t>
            </w:r>
          </w:p>
        </w:tc>
        <w:tc>
          <w:tcPr>
            <w:tcW w:w="6402" w:type="dxa"/>
            <w:shd w:val="clear" w:color="auto" w:fill="auto"/>
            <w:hideMark/>
          </w:tcPr>
          <w:p w:rsidR="00510AAC" w:rsidRPr="001F23AD" w:rsidRDefault="00510AAC" w:rsidP="00DB33B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загальна кількість учнів, які проживають у сільських населених пунктах (селах, селищах), станом на останній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510AAC" w:rsidRPr="001F23AD" w:rsidRDefault="00510AAC" w:rsidP="008B7BD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Департамент освіти, науки та молодіжної політики</w:t>
            </w:r>
            <w:r w:rsidR="008729C3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729C3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облдержадміністрації</w:t>
            </w:r>
          </w:p>
        </w:tc>
      </w:tr>
      <w:tr w:rsidR="00510AAC" w:rsidRPr="001F23AD" w:rsidTr="00C526F6">
        <w:trPr>
          <w:trHeight w:val="1123"/>
        </w:trPr>
        <w:tc>
          <w:tcPr>
            <w:tcW w:w="518" w:type="dxa"/>
            <w:vMerge/>
            <w:vAlign w:val="center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510AAC" w:rsidRPr="001F23AD" w:rsidRDefault="00510AAC" w:rsidP="00510AA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учнів, які проживають у сільських населених пунктах (селах, селищах), охоплених навчанням в опорних закладах загальної середньої освіти та їх структурних підрозділах (філіях),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510AAC" w:rsidRPr="001F23AD" w:rsidRDefault="00510AAC" w:rsidP="008B7BD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7D9F" w:rsidRPr="001F23AD" w:rsidTr="00C526F6">
        <w:trPr>
          <w:trHeight w:val="557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0E7D9F" w:rsidRPr="001F23AD" w:rsidRDefault="00724F0F" w:rsidP="000E7D9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lastRenderedPageBreak/>
              <w:br w:type="page"/>
            </w:r>
            <w:r w:rsidR="000E7D9F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55" w:type="dxa"/>
            <w:vMerge w:val="restart"/>
            <w:shd w:val="clear" w:color="auto" w:fill="auto"/>
          </w:tcPr>
          <w:p w:rsidR="000E7D9F" w:rsidRPr="001F23AD" w:rsidRDefault="000E7D9F" w:rsidP="000E7D9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дітей-сиріт та дітей, позбавлени</w:t>
            </w:r>
            <w:r w:rsidR="00F06DF6">
              <w:rPr>
                <w:rFonts w:eastAsia="Times New Roman" w:cs="Times New Roman"/>
                <w:sz w:val="24"/>
                <w:szCs w:val="24"/>
                <w:lang w:eastAsia="uk-UA"/>
              </w:rPr>
              <w:t>х батьківського піклування, які влаштовані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до сімейних форм виховання</w:t>
            </w:r>
          </w:p>
        </w:tc>
        <w:tc>
          <w:tcPr>
            <w:tcW w:w="6402" w:type="dxa"/>
            <w:shd w:val="clear" w:color="auto" w:fill="auto"/>
          </w:tcPr>
          <w:p w:rsidR="000E7D9F" w:rsidRPr="001F23AD" w:rsidRDefault="00F06DF6" w:rsidP="00366509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загальна </w:t>
            </w:r>
            <w:r w:rsidR="000E7D9F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дітей-сиріт та дітей, позбавлених батьківс</w:t>
            </w:r>
            <w:r w:rsidR="00366509">
              <w:rPr>
                <w:rFonts w:eastAsia="Times New Roman" w:cs="Times New Roman"/>
                <w:sz w:val="24"/>
                <w:szCs w:val="24"/>
                <w:lang w:eastAsia="uk-UA"/>
              </w:rPr>
              <w:t>ького піклування, які потребували</w:t>
            </w:r>
            <w:r w:rsidR="000E7D9F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влаштування до сімейних форм виховання, станом на перший день періоду та протягом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0E7D9F" w:rsidRPr="001F23AD" w:rsidRDefault="000E7D9F" w:rsidP="000E7D9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Служба у справах дітей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</w:tr>
      <w:tr w:rsidR="000E7D9F" w:rsidRPr="001F23AD" w:rsidTr="00C526F6">
        <w:trPr>
          <w:trHeight w:val="564"/>
        </w:trPr>
        <w:tc>
          <w:tcPr>
            <w:tcW w:w="518" w:type="dxa"/>
            <w:vMerge/>
            <w:vAlign w:val="center"/>
            <w:hideMark/>
          </w:tcPr>
          <w:p w:rsidR="000E7D9F" w:rsidRPr="001F23AD" w:rsidRDefault="000E7D9F" w:rsidP="000E7D9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</w:tcPr>
          <w:p w:rsidR="000E7D9F" w:rsidRPr="001F23AD" w:rsidRDefault="000E7D9F" w:rsidP="000E7D9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0E7D9F" w:rsidRPr="001F23AD" w:rsidRDefault="000E7D9F" w:rsidP="000E7D9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кількість дітей-сиріт та дітей, позбавлених батьківського піклування, яких </w:t>
            </w:r>
            <w:r w:rsidR="0036650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протягом періоду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влаштували до сімейних форм виховання,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0E7D9F" w:rsidRPr="001F23AD" w:rsidRDefault="000E7D9F" w:rsidP="000E7D9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258E8" w:rsidRPr="001F23AD" w:rsidTr="00C526F6">
        <w:trPr>
          <w:trHeight w:val="571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1258E8" w:rsidRPr="001F23AD" w:rsidRDefault="001258E8" w:rsidP="000E7D9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55" w:type="dxa"/>
            <w:vMerge w:val="restart"/>
            <w:shd w:val="clear" w:color="auto" w:fill="auto"/>
          </w:tcPr>
          <w:p w:rsidR="001258E8" w:rsidRPr="001F23AD" w:rsidRDefault="001258E8" w:rsidP="000E7D9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територіальних громад, у яких міськими, районними у містах, сільськими чи селищними радами утворені служби у справах дітей</w:t>
            </w:r>
          </w:p>
        </w:tc>
        <w:tc>
          <w:tcPr>
            <w:tcW w:w="6402" w:type="dxa"/>
            <w:shd w:val="clear" w:color="auto" w:fill="auto"/>
          </w:tcPr>
          <w:p w:rsidR="001258E8" w:rsidRPr="001F23AD" w:rsidRDefault="001258E8" w:rsidP="000E7D9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66509">
              <w:rPr>
                <w:rFonts w:eastAsia="Times New Roman" w:cs="Times New Roman"/>
                <w:sz w:val="24"/>
                <w:szCs w:val="24"/>
                <w:lang w:eastAsia="uk-UA"/>
              </w:rPr>
              <w:t>загальна кількість територіальних громад станом на останній день періоду</w:t>
            </w:r>
          </w:p>
        </w:tc>
        <w:tc>
          <w:tcPr>
            <w:tcW w:w="3534" w:type="dxa"/>
            <w:shd w:val="clear" w:color="auto" w:fill="auto"/>
            <w:hideMark/>
          </w:tcPr>
          <w:p w:rsidR="001258E8" w:rsidRPr="001F23AD" w:rsidRDefault="001258E8" w:rsidP="000E7D9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</w:tr>
      <w:tr w:rsidR="001258E8" w:rsidRPr="001F23AD" w:rsidTr="00C526F6">
        <w:trPr>
          <w:trHeight w:val="830"/>
        </w:trPr>
        <w:tc>
          <w:tcPr>
            <w:tcW w:w="518" w:type="dxa"/>
            <w:vMerge/>
            <w:vAlign w:val="center"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66509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територіальних громад, у яких міськими, рай</w:t>
            </w:r>
            <w:r w:rsidR="00F5585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онними у містах, сільськими чи </w:t>
            </w:r>
            <w:r w:rsidRPr="00366509">
              <w:rPr>
                <w:rFonts w:eastAsia="Times New Roman" w:cs="Times New Roman"/>
                <w:sz w:val="24"/>
                <w:szCs w:val="24"/>
                <w:lang w:eastAsia="uk-UA"/>
              </w:rPr>
              <w:t>селищними радами утворені служби у справах дітей</w:t>
            </w:r>
            <w:r w:rsidR="00F5585A">
              <w:rPr>
                <w:rFonts w:eastAsia="Times New Roman" w:cs="Times New Roman"/>
                <w:sz w:val="24"/>
                <w:szCs w:val="24"/>
                <w:lang w:eastAsia="uk-UA"/>
              </w:rPr>
              <w:t>,</w:t>
            </w:r>
            <w:r w:rsidRPr="0036650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станом на останній день періоду</w:t>
            </w:r>
          </w:p>
        </w:tc>
        <w:tc>
          <w:tcPr>
            <w:tcW w:w="3534" w:type="dxa"/>
            <w:shd w:val="clear" w:color="auto" w:fill="auto"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Служба у справах дітей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</w:tr>
      <w:tr w:rsidR="00694DF8" w:rsidRPr="001F23AD" w:rsidTr="00C526F6">
        <w:trPr>
          <w:trHeight w:val="559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694DF8" w:rsidRPr="001F23AD" w:rsidRDefault="00694DF8" w:rsidP="001258E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55" w:type="dxa"/>
            <w:vMerge w:val="restart"/>
            <w:shd w:val="clear" w:color="auto" w:fill="auto"/>
          </w:tcPr>
          <w:p w:rsidR="00694DF8" w:rsidRPr="001F23AD" w:rsidRDefault="00694DF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4774C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закладів культури державної та комунальної форми власності, в яких завершено капітальний ремонт або реконструкцію (реставрацію)</w:t>
            </w:r>
          </w:p>
        </w:tc>
        <w:tc>
          <w:tcPr>
            <w:tcW w:w="6402" w:type="dxa"/>
            <w:shd w:val="clear" w:color="auto" w:fill="auto"/>
          </w:tcPr>
          <w:p w:rsidR="00694DF8" w:rsidRPr="001F23AD" w:rsidRDefault="00694DF8" w:rsidP="0084774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загальна </w:t>
            </w:r>
            <w:r w:rsidRPr="008477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закладів культури державної та комунальної форми власності, що перебувають в аварійному стані та/або потребують капітального ремонту, реконструкції (реставрації),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включаючи </w:t>
            </w:r>
            <w:r w:rsidRPr="008477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заклад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8477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, в яких розпочаті роботи з капітального ремонту, реконструкції (реставрації), станом на перший день періоду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694DF8" w:rsidRPr="001F23AD" w:rsidRDefault="00694DF8" w:rsidP="001258E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Управління культури, національностей та релігій облдержадміністрації</w:t>
            </w:r>
          </w:p>
        </w:tc>
      </w:tr>
      <w:tr w:rsidR="00694DF8" w:rsidRPr="001F23AD" w:rsidTr="00C526F6">
        <w:trPr>
          <w:trHeight w:val="853"/>
        </w:trPr>
        <w:tc>
          <w:tcPr>
            <w:tcW w:w="518" w:type="dxa"/>
            <w:vMerge/>
            <w:vAlign w:val="center"/>
            <w:hideMark/>
          </w:tcPr>
          <w:p w:rsidR="00694DF8" w:rsidRPr="001F23AD" w:rsidRDefault="00694DF8" w:rsidP="001258E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</w:tcPr>
          <w:p w:rsidR="00694DF8" w:rsidRPr="001F23AD" w:rsidRDefault="00694DF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694DF8" w:rsidRPr="001F23AD" w:rsidRDefault="00694DF8" w:rsidP="001258E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закладів культури державної та комунальної форми власності, в яких протягом періоду завершено роботи з капітального ремонту, реконструкції (реставрації)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станом на перший день періоду</w:t>
            </w:r>
          </w:p>
        </w:tc>
        <w:tc>
          <w:tcPr>
            <w:tcW w:w="3534" w:type="dxa"/>
            <w:vMerge/>
            <w:shd w:val="clear" w:color="auto" w:fill="auto"/>
          </w:tcPr>
          <w:p w:rsidR="00694DF8" w:rsidRPr="001F23AD" w:rsidRDefault="00694DF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694DF8" w:rsidRPr="001F23AD" w:rsidTr="00C526F6">
        <w:trPr>
          <w:trHeight w:val="550"/>
        </w:trPr>
        <w:tc>
          <w:tcPr>
            <w:tcW w:w="518" w:type="dxa"/>
            <w:vMerge/>
            <w:shd w:val="clear" w:color="auto" w:fill="auto"/>
            <w:noWrap/>
          </w:tcPr>
          <w:p w:rsidR="00694DF8" w:rsidRPr="001F23AD" w:rsidRDefault="00694DF8" w:rsidP="001258E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shd w:val="clear" w:color="auto" w:fill="auto"/>
          </w:tcPr>
          <w:p w:rsidR="00694DF8" w:rsidRPr="0084774C" w:rsidRDefault="00694DF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694DF8" w:rsidRDefault="00694DF8" w:rsidP="00694DF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477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закладів культури державної та комунальної форми власності, в яких протягом періоду завершено роботи з капітального ремонту, реконструкції (реставрації)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станом 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останній</w:t>
            </w:r>
            <w:r w:rsidRPr="008477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день періоду</w:t>
            </w:r>
          </w:p>
        </w:tc>
        <w:tc>
          <w:tcPr>
            <w:tcW w:w="3534" w:type="dxa"/>
            <w:vMerge/>
            <w:shd w:val="clear" w:color="auto" w:fill="auto"/>
          </w:tcPr>
          <w:p w:rsidR="00694DF8" w:rsidRPr="001F23AD" w:rsidRDefault="00694DF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258E8" w:rsidRPr="001F23AD" w:rsidTr="00C526F6">
        <w:trPr>
          <w:trHeight w:val="550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1258E8" w:rsidRPr="001F23AD" w:rsidRDefault="001258E8" w:rsidP="001258E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1258E8" w:rsidRPr="001F23AD" w:rsidRDefault="0084774C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4774C">
              <w:rPr>
                <w:rFonts w:eastAsia="Times New Roman" w:cs="Times New Roman"/>
                <w:sz w:val="24"/>
                <w:szCs w:val="24"/>
                <w:lang w:eastAsia="uk-UA"/>
              </w:rPr>
              <w:t>Забезпечення розроблення облікової документації на об'єкти та пам'ятки культурної спадщини</w:t>
            </w:r>
          </w:p>
        </w:tc>
        <w:tc>
          <w:tcPr>
            <w:tcW w:w="6402" w:type="dxa"/>
            <w:shd w:val="clear" w:color="auto" w:fill="auto"/>
            <w:hideMark/>
          </w:tcPr>
          <w:p w:rsidR="001258E8" w:rsidRPr="001F23AD" w:rsidRDefault="0084774C" w:rsidP="0084774C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загальна </w:t>
            </w:r>
            <w:r w:rsidRPr="0084774C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об'єктів та пам’яток,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4774C">
              <w:rPr>
                <w:rFonts w:eastAsia="Times New Roman" w:cs="Times New Roman"/>
                <w:sz w:val="24"/>
                <w:szCs w:val="24"/>
                <w:lang w:eastAsia="uk-UA"/>
              </w:rPr>
              <w:t>на які розроблено облікову документацію, станом на перший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Управління культури, національностей та релігій облдержадміністрації</w:t>
            </w:r>
          </w:p>
        </w:tc>
      </w:tr>
      <w:tr w:rsidR="001258E8" w:rsidRPr="001F23AD" w:rsidTr="00C526F6">
        <w:trPr>
          <w:trHeight w:val="557"/>
        </w:trPr>
        <w:tc>
          <w:tcPr>
            <w:tcW w:w="518" w:type="dxa"/>
            <w:vMerge/>
            <w:vAlign w:val="center"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1258E8" w:rsidRPr="001F23AD" w:rsidRDefault="0084774C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загальна </w:t>
            </w:r>
            <w:r w:rsidRPr="0084774C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об'єктів та пам’яток,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4774C">
              <w:rPr>
                <w:rFonts w:eastAsia="Times New Roman" w:cs="Times New Roman"/>
                <w:sz w:val="24"/>
                <w:szCs w:val="24"/>
                <w:lang w:eastAsia="uk-UA"/>
              </w:rPr>
              <w:t>на які розроблено облікову документацію,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258E8" w:rsidRPr="001F23AD" w:rsidTr="00C526F6">
        <w:trPr>
          <w:trHeight w:val="557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1258E8" w:rsidRPr="001F23AD" w:rsidRDefault="001258E8" w:rsidP="001258E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155" w:type="dxa"/>
            <w:vMerge w:val="restart"/>
            <w:shd w:val="clear" w:color="auto" w:fill="auto"/>
          </w:tcPr>
          <w:p w:rsidR="001258E8" w:rsidRPr="001F23AD" w:rsidRDefault="009147A2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площинних спортивних споруд</w:t>
            </w:r>
            <w:r>
              <w:t xml:space="preserve"> </w:t>
            </w:r>
            <w:r w:rsidRPr="009147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державної та комунальної форми власності, на яких завершено капітальний ремонт або реконструкцію (реставрацію)</w:t>
            </w:r>
          </w:p>
        </w:tc>
        <w:tc>
          <w:tcPr>
            <w:tcW w:w="6402" w:type="dxa"/>
            <w:shd w:val="clear" w:color="auto" w:fill="auto"/>
          </w:tcPr>
          <w:p w:rsidR="001258E8" w:rsidRPr="001F23AD" w:rsidRDefault="009147A2" w:rsidP="0093696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загальна к</w:t>
            </w:r>
            <w:r w:rsidRPr="009147A2">
              <w:rPr>
                <w:rFonts w:eastAsia="Times New Roman" w:cs="Times New Roman"/>
                <w:sz w:val="24"/>
                <w:szCs w:val="24"/>
                <w:lang w:eastAsia="uk-UA"/>
              </w:rPr>
              <w:t>ількість площинних спортивних споруд державної та комунальної форми власності, що перебувають в аварійному стані та/або потребують капітального ремонту</w:t>
            </w:r>
            <w:r w:rsidR="00936960">
              <w:rPr>
                <w:rFonts w:eastAsia="Times New Roman" w:cs="Times New Roman"/>
                <w:sz w:val="24"/>
                <w:szCs w:val="24"/>
                <w:lang w:eastAsia="uk-UA"/>
              </w:rPr>
              <w:t>, реконструкції</w:t>
            </w:r>
            <w:r w:rsidRPr="009147A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(реставрації), </w:t>
            </w:r>
            <w:r w:rsidR="00936960">
              <w:rPr>
                <w:rFonts w:eastAsia="Times New Roman" w:cs="Times New Roman"/>
                <w:sz w:val="24"/>
                <w:szCs w:val="24"/>
                <w:lang w:eastAsia="uk-UA"/>
              </w:rPr>
              <w:t>включаючи площинні спортивні</w:t>
            </w:r>
            <w:r w:rsidRPr="009147A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споруд</w:t>
            </w:r>
            <w:r w:rsidR="00936960">
              <w:rPr>
                <w:rFonts w:eastAsia="Times New Roman" w:cs="Times New Roman"/>
                <w:sz w:val="24"/>
                <w:szCs w:val="24"/>
                <w:lang w:eastAsia="uk-UA"/>
              </w:rPr>
              <w:t>и,</w:t>
            </w:r>
            <w:r w:rsidRPr="009147A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 яких розпочаті роботи з капітального ремонту, реконструкції (реставрації</w:t>
            </w:r>
            <w:r w:rsidR="00936960">
              <w:rPr>
                <w:rFonts w:eastAsia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1258E8" w:rsidRPr="001F23AD" w:rsidRDefault="009147A2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Управління спорту облдержадміністрації</w:t>
            </w:r>
          </w:p>
        </w:tc>
      </w:tr>
      <w:tr w:rsidR="001258E8" w:rsidRPr="001F23AD" w:rsidTr="00C526F6">
        <w:trPr>
          <w:trHeight w:val="840"/>
        </w:trPr>
        <w:tc>
          <w:tcPr>
            <w:tcW w:w="518" w:type="dxa"/>
            <w:vMerge/>
            <w:vAlign w:val="center"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1258E8" w:rsidRPr="001F23AD" w:rsidRDefault="009147A2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147A2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площинних спортивних споруд державної та комунальної форми власності, на яких протягом періоду завершено роботи з капітального ремонту, реконструкції (реставрації)</w:t>
            </w:r>
            <w:r w:rsidR="0003336D">
              <w:rPr>
                <w:rFonts w:eastAsia="Times New Roman" w:cs="Times New Roman"/>
                <w:sz w:val="24"/>
                <w:szCs w:val="24"/>
                <w:lang w:eastAsia="uk-UA"/>
              </w:rPr>
              <w:t>,</w:t>
            </w:r>
            <w:r w:rsidRPr="009147A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1258E8" w:rsidRPr="001F23AD" w:rsidRDefault="001258E8" w:rsidP="001258E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5E0CD2" w:rsidRPr="001F23AD" w:rsidTr="00C526F6">
        <w:trPr>
          <w:trHeight w:val="341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E0CD2" w:rsidRPr="001F23AD" w:rsidRDefault="005E0CD2" w:rsidP="005E0C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молодіжних працівників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, підготовлених відповідно до Порядку реалізації програми “Молодіжний працівник”, затвердженого наказом </w:t>
            </w:r>
            <w:proofErr w:type="spellStart"/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Мінмолодьспорту</w:t>
            </w:r>
            <w:proofErr w:type="spellEnd"/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від 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.09.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2018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№ 4334</w:t>
            </w:r>
          </w:p>
        </w:tc>
        <w:tc>
          <w:tcPr>
            <w:tcW w:w="6402" w:type="dxa"/>
            <w:shd w:val="clear" w:color="auto" w:fill="auto"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молоді станом на останній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Департамент освіти, науки та молодіжної політики облдержадміністрації</w:t>
            </w:r>
          </w:p>
        </w:tc>
      </w:tr>
      <w:tr w:rsidR="005E0CD2" w:rsidRPr="001F23AD" w:rsidTr="00C526F6">
        <w:trPr>
          <w:trHeight w:val="1124"/>
        </w:trPr>
        <w:tc>
          <w:tcPr>
            <w:tcW w:w="518" w:type="dxa"/>
            <w:vMerge/>
            <w:vAlign w:val="center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молодіжних працівників, підготовлених відповідно до Порядку реалізації програми “Молодіжний працівник”, затвердженого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наказом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Мінмолодьспорту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від 19.09.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2018 № 4334,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5E0CD2" w:rsidRPr="001F23AD" w:rsidTr="00C526F6">
        <w:trPr>
          <w:trHeight w:val="375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E0CD2" w:rsidRPr="001F23AD" w:rsidRDefault="005E0CD2" w:rsidP="005E0C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укладених декларацій про вибір лікаря, який надає первинну медичну допомогу</w:t>
            </w:r>
          </w:p>
        </w:tc>
        <w:tc>
          <w:tcPr>
            <w:tcW w:w="6402" w:type="dxa"/>
            <w:shd w:val="clear" w:color="auto" w:fill="auto"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загальна чисельність населення станом на </w:t>
            </w:r>
            <w:r w:rsidR="00647230">
              <w:rPr>
                <w:rFonts w:eastAsia="Times New Roman" w:cs="Times New Roman"/>
                <w:sz w:val="24"/>
                <w:szCs w:val="24"/>
                <w:lang w:eastAsia="uk-UA"/>
              </w:rPr>
              <w:t>0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1 січня звітного року</w:t>
            </w:r>
          </w:p>
        </w:tc>
        <w:tc>
          <w:tcPr>
            <w:tcW w:w="3534" w:type="dxa"/>
            <w:shd w:val="clear" w:color="auto" w:fill="auto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Головне управління статистики в Івано-Франківській області</w:t>
            </w:r>
          </w:p>
        </w:tc>
      </w:tr>
      <w:tr w:rsidR="005E0CD2" w:rsidRPr="001F23AD" w:rsidTr="00C526F6">
        <w:trPr>
          <w:trHeight w:val="798"/>
        </w:trPr>
        <w:tc>
          <w:tcPr>
            <w:tcW w:w="518" w:type="dxa"/>
            <w:vMerge/>
            <w:vAlign w:val="center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чисельність населення, що уклало декларації про вибір лікаря, який надає первинну медичну допомогу, станом на останній день періоду</w:t>
            </w:r>
          </w:p>
        </w:tc>
        <w:tc>
          <w:tcPr>
            <w:tcW w:w="3534" w:type="dxa"/>
            <w:shd w:val="clear" w:color="auto" w:fill="auto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охорони здоров'я облдержадміністрації</w:t>
            </w:r>
          </w:p>
        </w:tc>
      </w:tr>
      <w:tr w:rsidR="005E0CD2" w:rsidRPr="001F23AD" w:rsidTr="00C526F6">
        <w:trPr>
          <w:trHeight w:val="1093"/>
        </w:trPr>
        <w:tc>
          <w:tcPr>
            <w:tcW w:w="518" w:type="dxa"/>
            <w:shd w:val="clear" w:color="auto" w:fill="auto"/>
            <w:noWrap/>
            <w:hideMark/>
          </w:tcPr>
          <w:p w:rsidR="005E0CD2" w:rsidRPr="001F23AD" w:rsidRDefault="005E0CD2" w:rsidP="005E0CD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4155" w:type="dxa"/>
            <w:shd w:val="clear" w:color="auto" w:fill="auto"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Рівень охоплення обов’язковими профілактичними щепленнями відповідно до річного календаря профілактичних щеплень в Україні</w:t>
            </w:r>
          </w:p>
        </w:tc>
        <w:tc>
          <w:tcPr>
            <w:tcW w:w="6402" w:type="dxa"/>
            <w:shd w:val="clear" w:color="auto" w:fill="auto"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відсотків загального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обсяг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профілактичних щеплень з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а відповідний рік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станом на останній день періоду</w:t>
            </w:r>
          </w:p>
        </w:tc>
        <w:tc>
          <w:tcPr>
            <w:tcW w:w="3534" w:type="dxa"/>
            <w:shd w:val="clear" w:color="auto" w:fill="auto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охорони здоров'я облдержадміністрації</w:t>
            </w:r>
          </w:p>
        </w:tc>
      </w:tr>
      <w:tr w:rsidR="005E0CD2" w:rsidRPr="001F23AD" w:rsidTr="00C526F6">
        <w:trPr>
          <w:trHeight w:val="699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E0CD2" w:rsidRPr="001F23AD" w:rsidRDefault="005E0CD2" w:rsidP="005E0CD2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12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5E0CD2" w:rsidRPr="005E0CD2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E0CD2">
              <w:rPr>
                <w:sz w:val="24"/>
                <w:szCs w:val="24"/>
                <w:lang w:eastAsia="uk-UA"/>
              </w:rPr>
              <w:t xml:space="preserve">Рівень охоплення вакцинацією дорослого населення для формування колективного імунітету до гострої респіраторної хвороби COVID-19, спричиненої </w:t>
            </w:r>
            <w:proofErr w:type="spellStart"/>
            <w:r w:rsidRPr="005E0CD2">
              <w:rPr>
                <w:sz w:val="24"/>
                <w:szCs w:val="24"/>
                <w:lang w:eastAsia="uk-UA"/>
              </w:rPr>
              <w:t>коронавірусом</w:t>
            </w:r>
            <w:proofErr w:type="spellEnd"/>
            <w:r w:rsidRPr="005E0CD2">
              <w:rPr>
                <w:sz w:val="24"/>
                <w:szCs w:val="24"/>
                <w:lang w:eastAsia="uk-UA"/>
              </w:rPr>
              <w:t xml:space="preserve"> SARS-CoV-2 (за умови централізованого постачання відповідних вакцин у повному о</w:t>
            </w:r>
            <w:r>
              <w:rPr>
                <w:sz w:val="24"/>
                <w:szCs w:val="24"/>
                <w:lang w:eastAsia="uk-UA"/>
              </w:rPr>
              <w:t>бсязі)</w:t>
            </w:r>
          </w:p>
        </w:tc>
        <w:tc>
          <w:tcPr>
            <w:tcW w:w="6402" w:type="dxa"/>
            <w:shd w:val="clear" w:color="auto" w:fill="auto"/>
          </w:tcPr>
          <w:p w:rsidR="005E0CD2" w:rsidRPr="005E0CD2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E0CD2">
              <w:rPr>
                <w:sz w:val="24"/>
                <w:szCs w:val="24"/>
                <w:lang w:eastAsia="uk-UA"/>
              </w:rPr>
              <w:t xml:space="preserve">загальна чисельність наявного дорослого населення станом на </w:t>
            </w:r>
            <w:r w:rsidR="00647230">
              <w:rPr>
                <w:sz w:val="24"/>
                <w:szCs w:val="24"/>
                <w:lang w:eastAsia="uk-UA"/>
              </w:rPr>
              <w:t>0</w:t>
            </w:r>
            <w:r w:rsidRPr="005E0CD2">
              <w:rPr>
                <w:sz w:val="24"/>
                <w:szCs w:val="24"/>
                <w:lang w:eastAsia="uk-UA"/>
              </w:rPr>
              <w:t>1 січня відповідного року</w:t>
            </w:r>
          </w:p>
        </w:tc>
        <w:tc>
          <w:tcPr>
            <w:tcW w:w="3534" w:type="dxa"/>
            <w:shd w:val="clear" w:color="auto" w:fill="auto"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Головне управління статистики в Івано-Франківській області</w:t>
            </w:r>
          </w:p>
        </w:tc>
      </w:tr>
      <w:tr w:rsidR="005E0CD2" w:rsidRPr="001F23AD" w:rsidTr="005C6DE2">
        <w:trPr>
          <w:trHeight w:val="1445"/>
        </w:trPr>
        <w:tc>
          <w:tcPr>
            <w:tcW w:w="518" w:type="dxa"/>
            <w:vMerge/>
            <w:vAlign w:val="center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shd w:val="clear" w:color="auto" w:fill="auto"/>
            <w:vAlign w:val="center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5E0CD2" w:rsidRPr="005E0CD2" w:rsidRDefault="005E0CD2" w:rsidP="00C83378">
            <w:pPr>
              <w:pStyle w:val="rvps14"/>
              <w:spacing w:before="0" w:beforeAutospacing="0" w:after="0" w:afterAutospacing="0"/>
            </w:pPr>
            <w:r w:rsidRPr="005E0CD2">
              <w:rPr>
                <w:lang w:eastAsia="ru-RU"/>
              </w:rPr>
              <w:t>кількість доросл</w:t>
            </w:r>
            <w:r w:rsidR="00C83378">
              <w:rPr>
                <w:lang w:eastAsia="ru-RU"/>
              </w:rPr>
              <w:t>ого</w:t>
            </w:r>
            <w:r w:rsidRPr="005E0CD2">
              <w:rPr>
                <w:lang w:eastAsia="ru-RU"/>
              </w:rPr>
              <w:t xml:space="preserve"> </w:t>
            </w:r>
            <w:r w:rsidR="00C83378">
              <w:rPr>
                <w:lang w:eastAsia="ru-RU"/>
              </w:rPr>
              <w:t>населення</w:t>
            </w:r>
            <w:r w:rsidRPr="005E0CD2">
              <w:rPr>
                <w:lang w:eastAsia="ru-RU"/>
              </w:rPr>
              <w:t>,</w:t>
            </w:r>
            <w:r w:rsidR="00C83378">
              <w:rPr>
                <w:lang w:eastAsia="ru-RU"/>
              </w:rPr>
              <w:t xml:space="preserve"> що пройшло</w:t>
            </w:r>
            <w:r w:rsidRPr="005E0CD2">
              <w:rPr>
                <w:lang w:eastAsia="ru-RU"/>
              </w:rPr>
              <w:t xml:space="preserve"> повний курс вакцинації від гострої респіраторної хвороби COVID-19, спричиненої </w:t>
            </w:r>
            <w:proofErr w:type="spellStart"/>
            <w:r w:rsidRPr="005E0CD2">
              <w:rPr>
                <w:lang w:eastAsia="ru-RU"/>
              </w:rPr>
              <w:t>коронавірусом</w:t>
            </w:r>
            <w:proofErr w:type="spellEnd"/>
            <w:r w:rsidRPr="005E0CD2">
              <w:rPr>
                <w:lang w:eastAsia="ru-RU"/>
              </w:rPr>
              <w:t xml:space="preserve"> SARS-CoV-2 (за умови централізованого постачання відповідних вакцин у повному обсязі)</w:t>
            </w:r>
          </w:p>
        </w:tc>
        <w:tc>
          <w:tcPr>
            <w:tcW w:w="3534" w:type="dxa"/>
            <w:shd w:val="clear" w:color="auto" w:fill="auto"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охорони здоров'я облдержадміністрації</w:t>
            </w:r>
          </w:p>
        </w:tc>
      </w:tr>
      <w:tr w:rsidR="005E0CD2" w:rsidRPr="001F23AD" w:rsidTr="00C526F6">
        <w:trPr>
          <w:trHeight w:val="1162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E0CD2" w:rsidRPr="001F23AD" w:rsidRDefault="005E0CD2" w:rsidP="005E0CD2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br w:type="page"/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13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</w:tcPr>
          <w:p w:rsidR="005E0CD2" w:rsidRPr="00F94B91" w:rsidRDefault="00F94B91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94B91">
              <w:rPr>
                <w:sz w:val="24"/>
                <w:szCs w:val="24"/>
              </w:rPr>
              <w:t xml:space="preserve">Забезпечення у закладах охорони здоров’я, призначених для лікування пацієнтів з гострою респіраторною хворобою COVID-19, спричиненою </w:t>
            </w:r>
            <w:proofErr w:type="spellStart"/>
            <w:r w:rsidRPr="00F94B91">
              <w:rPr>
                <w:sz w:val="24"/>
                <w:szCs w:val="24"/>
              </w:rPr>
              <w:t>коронавірусом</w:t>
            </w:r>
            <w:proofErr w:type="spellEnd"/>
            <w:r w:rsidRPr="00F94B91">
              <w:rPr>
                <w:sz w:val="24"/>
                <w:szCs w:val="24"/>
              </w:rPr>
              <w:t xml:space="preserve"> SARS-CoV-2, централізованого постачання медичних газів, встановлення додаткових кисневих магістралей</w:t>
            </w:r>
          </w:p>
        </w:tc>
        <w:tc>
          <w:tcPr>
            <w:tcW w:w="6402" w:type="dxa"/>
            <w:shd w:val="clear" w:color="auto" w:fill="auto"/>
          </w:tcPr>
          <w:p w:rsidR="005E0CD2" w:rsidRPr="00F94B91" w:rsidRDefault="00F94B91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94B91">
              <w:rPr>
                <w:sz w:val="24"/>
                <w:szCs w:val="24"/>
              </w:rPr>
              <w:t xml:space="preserve">загальна кількість ліжок у закладах охорони здоров’я, призначених для лікування пацієнтів з гострою респіраторною хворобою COVID-19, спричиненою </w:t>
            </w:r>
            <w:proofErr w:type="spellStart"/>
            <w:r w:rsidRPr="00F94B91">
              <w:rPr>
                <w:sz w:val="24"/>
                <w:szCs w:val="24"/>
              </w:rPr>
              <w:t>коронавірусом</w:t>
            </w:r>
            <w:proofErr w:type="spellEnd"/>
            <w:r w:rsidRPr="00F94B91">
              <w:rPr>
                <w:sz w:val="24"/>
                <w:szCs w:val="24"/>
              </w:rPr>
              <w:t xml:space="preserve"> SARS-CoV-2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5E0CD2" w:rsidRPr="001F23AD" w:rsidRDefault="005F4250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охорони здоров'я облдержадміністрації</w:t>
            </w:r>
          </w:p>
        </w:tc>
      </w:tr>
      <w:tr w:rsidR="005E0CD2" w:rsidRPr="001F23AD" w:rsidTr="00C526F6">
        <w:trPr>
          <w:trHeight w:val="863"/>
        </w:trPr>
        <w:tc>
          <w:tcPr>
            <w:tcW w:w="518" w:type="dxa"/>
            <w:vMerge/>
            <w:vAlign w:val="center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</w:tcPr>
          <w:p w:rsidR="005E0CD2" w:rsidRPr="00F94B91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5E0CD2" w:rsidRPr="00F94B91" w:rsidRDefault="00F94B91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94B91">
              <w:rPr>
                <w:sz w:val="24"/>
                <w:szCs w:val="24"/>
              </w:rPr>
              <w:t xml:space="preserve">кількість ліжок у закладах охорони здоров’я, призначених для лікування пацієнтів з гострою респіраторною хворобою COVID-19, спричиненою </w:t>
            </w:r>
            <w:proofErr w:type="spellStart"/>
            <w:r w:rsidRPr="00F94B91">
              <w:rPr>
                <w:sz w:val="24"/>
                <w:szCs w:val="24"/>
              </w:rPr>
              <w:t>коронавірусом</w:t>
            </w:r>
            <w:proofErr w:type="spellEnd"/>
            <w:r w:rsidRPr="00F94B91">
              <w:rPr>
                <w:sz w:val="24"/>
                <w:szCs w:val="24"/>
              </w:rPr>
              <w:t xml:space="preserve"> SARS-CoV-2, забезпечених централізованим постачанням медичних газів, у тому числі шляхом встановлення додаткових кисневих магістралей</w:t>
            </w:r>
          </w:p>
        </w:tc>
        <w:tc>
          <w:tcPr>
            <w:tcW w:w="3534" w:type="dxa"/>
            <w:vMerge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5E0CD2" w:rsidRPr="001F23AD" w:rsidTr="00C526F6">
        <w:trPr>
          <w:trHeight w:val="592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E0CD2" w:rsidRPr="001F23AD" w:rsidRDefault="005E0CD2" w:rsidP="005E0CD2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14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</w:tcPr>
          <w:p w:rsidR="005E0CD2" w:rsidRPr="002D4C41" w:rsidRDefault="002D4C41" w:rsidP="00C8337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D4C41">
              <w:rPr>
                <w:sz w:val="24"/>
                <w:szCs w:val="24"/>
              </w:rPr>
              <w:t>Кількість пацієнтів з діагнозом гострий мозковий інсульт, які проліковані надавач</w:t>
            </w:r>
            <w:r w:rsidR="00C83378">
              <w:rPr>
                <w:sz w:val="24"/>
                <w:szCs w:val="24"/>
              </w:rPr>
              <w:t>ами</w:t>
            </w:r>
            <w:r w:rsidRPr="002D4C41">
              <w:rPr>
                <w:sz w:val="24"/>
                <w:szCs w:val="24"/>
              </w:rPr>
              <w:t xml:space="preserve"> медичних послуг, що мають укладені договори з НСЗУ за пакетом медичних послуг «Медична допомога при гострому мозковому інсульті в стаціонарних умовах»</w:t>
            </w:r>
          </w:p>
        </w:tc>
        <w:tc>
          <w:tcPr>
            <w:tcW w:w="6402" w:type="dxa"/>
            <w:shd w:val="clear" w:color="auto" w:fill="auto"/>
          </w:tcPr>
          <w:p w:rsidR="005E0CD2" w:rsidRPr="002D4C41" w:rsidRDefault="002D4C41" w:rsidP="00C8337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D4C41">
              <w:rPr>
                <w:sz w:val="24"/>
                <w:szCs w:val="24"/>
              </w:rPr>
              <w:t>загальна кількість пацієнтів з діагнозом гострий мозковий інсульт, які проліковані протягом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5E0CD2" w:rsidRPr="001F23AD" w:rsidRDefault="002D4C41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охорони здоров'я облдержадміністрації</w:t>
            </w:r>
          </w:p>
        </w:tc>
      </w:tr>
      <w:tr w:rsidR="005E0CD2" w:rsidRPr="001F23AD" w:rsidTr="00C526F6">
        <w:trPr>
          <w:trHeight w:val="562"/>
        </w:trPr>
        <w:tc>
          <w:tcPr>
            <w:tcW w:w="518" w:type="dxa"/>
            <w:vMerge/>
            <w:vAlign w:val="center"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</w:tcPr>
          <w:p w:rsidR="005E0CD2" w:rsidRPr="002D4C41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5E0CD2" w:rsidRPr="002D4C41" w:rsidRDefault="002D4C41" w:rsidP="00257F7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D4C41">
              <w:rPr>
                <w:sz w:val="24"/>
                <w:szCs w:val="24"/>
              </w:rPr>
              <w:t xml:space="preserve">кількість пацієнтів з діагнозом гострий мозковий інсульт, які протягом періоду проліковані </w:t>
            </w:r>
            <w:r w:rsidR="00530E21">
              <w:rPr>
                <w:sz w:val="24"/>
                <w:szCs w:val="24"/>
              </w:rPr>
              <w:t xml:space="preserve">надавачами </w:t>
            </w:r>
            <w:r w:rsidRPr="002D4C41">
              <w:rPr>
                <w:sz w:val="24"/>
                <w:szCs w:val="24"/>
              </w:rPr>
              <w:t xml:space="preserve">медичних послуг, </w:t>
            </w:r>
            <w:r w:rsidR="00530E21">
              <w:rPr>
                <w:sz w:val="24"/>
                <w:szCs w:val="24"/>
              </w:rPr>
              <w:t>що</w:t>
            </w:r>
            <w:r w:rsidRPr="002D4C41">
              <w:rPr>
                <w:sz w:val="24"/>
                <w:szCs w:val="24"/>
              </w:rPr>
              <w:t xml:space="preserve"> надають </w:t>
            </w:r>
            <w:r w:rsidR="00257F7A">
              <w:rPr>
                <w:sz w:val="24"/>
                <w:szCs w:val="24"/>
              </w:rPr>
              <w:t xml:space="preserve">такі </w:t>
            </w:r>
            <w:r w:rsidRPr="002D4C41">
              <w:rPr>
                <w:sz w:val="24"/>
                <w:szCs w:val="24"/>
              </w:rPr>
              <w:t>послуги за пакетом медичних послуг «Медична допомога при гострому мозковому інсульті в стаціонарних умовах»</w:t>
            </w:r>
          </w:p>
        </w:tc>
        <w:tc>
          <w:tcPr>
            <w:tcW w:w="3534" w:type="dxa"/>
            <w:vMerge/>
            <w:hideMark/>
          </w:tcPr>
          <w:p w:rsidR="005E0CD2" w:rsidRPr="001F23AD" w:rsidRDefault="005E0CD2" w:rsidP="005E0CD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5F4250" w:rsidRPr="001F23AD" w:rsidTr="00C526F6">
        <w:trPr>
          <w:trHeight w:val="555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5F4250" w:rsidRPr="001F23AD" w:rsidRDefault="005F4250" w:rsidP="00C33820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15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</w:tcPr>
          <w:p w:rsidR="005F4250" w:rsidRPr="00EA52BC" w:rsidRDefault="00EA52BC" w:rsidP="00257F7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A52BC">
              <w:rPr>
                <w:sz w:val="24"/>
                <w:szCs w:val="24"/>
              </w:rPr>
              <w:t xml:space="preserve">Кількість пацієнтів з діагнозом коронарний синдром/гострий інфаркт </w:t>
            </w:r>
            <w:r w:rsidRPr="00EA52BC">
              <w:rPr>
                <w:sz w:val="24"/>
                <w:szCs w:val="24"/>
              </w:rPr>
              <w:lastRenderedPageBreak/>
              <w:t xml:space="preserve">міокарда, які проліковані </w:t>
            </w:r>
            <w:r w:rsidR="00257F7A">
              <w:rPr>
                <w:sz w:val="24"/>
                <w:szCs w:val="24"/>
              </w:rPr>
              <w:t>надавачами</w:t>
            </w:r>
            <w:r w:rsidRPr="00EA52BC">
              <w:rPr>
                <w:sz w:val="24"/>
                <w:szCs w:val="24"/>
              </w:rPr>
              <w:t xml:space="preserve"> медичних послуг, </w:t>
            </w:r>
            <w:r w:rsidR="00257F7A">
              <w:rPr>
                <w:sz w:val="24"/>
                <w:szCs w:val="24"/>
              </w:rPr>
              <w:t xml:space="preserve">що </w:t>
            </w:r>
            <w:r w:rsidRPr="00EA52BC">
              <w:rPr>
                <w:sz w:val="24"/>
                <w:szCs w:val="24"/>
              </w:rPr>
              <w:t xml:space="preserve">визначені </w:t>
            </w:r>
            <w:r w:rsidR="00257F7A">
              <w:rPr>
                <w:sz w:val="24"/>
                <w:szCs w:val="24"/>
              </w:rPr>
              <w:t>д</w:t>
            </w:r>
            <w:r w:rsidR="00257F7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епартамент</w:t>
            </w:r>
            <w:r w:rsidR="00257F7A">
              <w:rPr>
                <w:rFonts w:eastAsia="Times New Roman" w:cs="Times New Roman"/>
                <w:sz w:val="24"/>
                <w:szCs w:val="24"/>
                <w:lang w:eastAsia="uk-UA"/>
              </w:rPr>
              <w:t>ом</w:t>
            </w:r>
            <w:r w:rsidR="00257F7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охорони здоров'я облдержадміністрації</w:t>
            </w:r>
            <w:r w:rsidRPr="00EA52BC">
              <w:rPr>
                <w:sz w:val="24"/>
                <w:szCs w:val="24"/>
              </w:rPr>
              <w:t xml:space="preserve"> та в цілодобовому режимі здійснюють </w:t>
            </w:r>
            <w:proofErr w:type="spellStart"/>
            <w:r w:rsidRPr="00EA52BC">
              <w:rPr>
                <w:sz w:val="24"/>
                <w:szCs w:val="24"/>
              </w:rPr>
              <w:t>перкутанні</w:t>
            </w:r>
            <w:proofErr w:type="spellEnd"/>
            <w:r w:rsidRPr="00EA52BC">
              <w:rPr>
                <w:sz w:val="24"/>
                <w:szCs w:val="24"/>
              </w:rPr>
              <w:t xml:space="preserve"> коронарні втручання</w:t>
            </w:r>
          </w:p>
        </w:tc>
        <w:tc>
          <w:tcPr>
            <w:tcW w:w="6402" w:type="dxa"/>
            <w:shd w:val="clear" w:color="auto" w:fill="auto"/>
          </w:tcPr>
          <w:p w:rsidR="005F4250" w:rsidRPr="00EA52BC" w:rsidRDefault="00EA52BC" w:rsidP="00257F7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A52BC">
              <w:rPr>
                <w:sz w:val="24"/>
                <w:szCs w:val="24"/>
              </w:rPr>
              <w:lastRenderedPageBreak/>
              <w:t>загальна кількість пацієнтів з діагнозом гострий інфаркт міокарда, які проліковані протягом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5F4250" w:rsidRPr="001F23AD" w:rsidRDefault="00EA52BC" w:rsidP="00C3382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охорони здоров'я облдержадміністрації</w:t>
            </w:r>
          </w:p>
        </w:tc>
      </w:tr>
      <w:tr w:rsidR="005F4250" w:rsidRPr="001F23AD" w:rsidTr="00C526F6">
        <w:trPr>
          <w:trHeight w:val="562"/>
        </w:trPr>
        <w:tc>
          <w:tcPr>
            <w:tcW w:w="518" w:type="dxa"/>
            <w:vMerge/>
            <w:vAlign w:val="center"/>
            <w:hideMark/>
          </w:tcPr>
          <w:p w:rsidR="005F4250" w:rsidRPr="001F23AD" w:rsidRDefault="005F4250" w:rsidP="00C3382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</w:tcPr>
          <w:p w:rsidR="005F4250" w:rsidRPr="00EA52BC" w:rsidRDefault="005F4250" w:rsidP="00C3382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5F4250" w:rsidRPr="00EA52BC" w:rsidRDefault="00EA52BC" w:rsidP="00257F7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A52BC">
              <w:rPr>
                <w:sz w:val="24"/>
                <w:szCs w:val="24"/>
              </w:rPr>
              <w:t xml:space="preserve">кількість пацієнтів з діагнозом гострий коронарний синдром/гострий інфаркт міокарда, які протягом періоду проліковані </w:t>
            </w:r>
            <w:r w:rsidR="000C791F">
              <w:rPr>
                <w:sz w:val="24"/>
                <w:szCs w:val="24"/>
              </w:rPr>
              <w:t>надавачами</w:t>
            </w:r>
            <w:r w:rsidRPr="00EA52BC">
              <w:rPr>
                <w:sz w:val="24"/>
                <w:szCs w:val="24"/>
              </w:rPr>
              <w:t xml:space="preserve"> медичних послуг, </w:t>
            </w:r>
            <w:r w:rsidR="00257F7A">
              <w:rPr>
                <w:sz w:val="24"/>
                <w:szCs w:val="24"/>
              </w:rPr>
              <w:t xml:space="preserve">що </w:t>
            </w:r>
            <w:r w:rsidRPr="00EA52BC">
              <w:rPr>
                <w:sz w:val="24"/>
                <w:szCs w:val="24"/>
              </w:rPr>
              <w:t xml:space="preserve">визначені </w:t>
            </w:r>
            <w:r w:rsidR="00257F7A">
              <w:rPr>
                <w:rFonts w:eastAsia="Times New Roman" w:cs="Times New Roman"/>
                <w:sz w:val="24"/>
                <w:szCs w:val="24"/>
                <w:lang w:eastAsia="uk-UA"/>
              </w:rPr>
              <w:t>д</w:t>
            </w:r>
            <w:r w:rsidR="00257F7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епартамент</w:t>
            </w:r>
            <w:r w:rsidR="00257F7A">
              <w:rPr>
                <w:rFonts w:eastAsia="Times New Roman" w:cs="Times New Roman"/>
                <w:sz w:val="24"/>
                <w:szCs w:val="24"/>
                <w:lang w:eastAsia="uk-UA"/>
              </w:rPr>
              <w:t>ом</w:t>
            </w:r>
            <w:r w:rsidR="00257F7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охорони здоров'я облдержадміністрації</w:t>
            </w:r>
            <w:r w:rsidR="00257F7A" w:rsidRPr="00EA52BC">
              <w:rPr>
                <w:sz w:val="24"/>
                <w:szCs w:val="24"/>
              </w:rPr>
              <w:t xml:space="preserve"> </w:t>
            </w:r>
            <w:r w:rsidRPr="00EA52BC">
              <w:rPr>
                <w:sz w:val="24"/>
                <w:szCs w:val="24"/>
              </w:rPr>
              <w:t xml:space="preserve">та в цілодобовому режимі здійснюють </w:t>
            </w:r>
            <w:proofErr w:type="spellStart"/>
            <w:r w:rsidRPr="00EA52BC">
              <w:rPr>
                <w:sz w:val="24"/>
                <w:szCs w:val="24"/>
              </w:rPr>
              <w:t>перкутанні</w:t>
            </w:r>
            <w:proofErr w:type="spellEnd"/>
            <w:r w:rsidRPr="00EA52BC">
              <w:rPr>
                <w:sz w:val="24"/>
                <w:szCs w:val="24"/>
              </w:rPr>
              <w:t xml:space="preserve"> коронарні втручання</w:t>
            </w:r>
          </w:p>
        </w:tc>
        <w:tc>
          <w:tcPr>
            <w:tcW w:w="3534" w:type="dxa"/>
            <w:vMerge/>
            <w:hideMark/>
          </w:tcPr>
          <w:p w:rsidR="005F4250" w:rsidRPr="001F23AD" w:rsidRDefault="005F4250" w:rsidP="00C3382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4A1537" w:rsidRPr="001F23AD" w:rsidTr="00C526F6">
        <w:trPr>
          <w:trHeight w:val="874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4A1537" w:rsidRPr="001F23AD" w:rsidRDefault="004A1537" w:rsidP="004A153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16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4A1537" w:rsidRPr="001F23AD" w:rsidRDefault="004A1537" w:rsidP="0017694C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Протяжність автомобільних доріг загального користування місцевого значення, на яких </w:t>
            </w:r>
            <w:r w:rsidR="0017694C">
              <w:rPr>
                <w:rFonts w:eastAsia="Times New Roman" w:cs="Times New Roman"/>
                <w:sz w:val="24"/>
                <w:szCs w:val="24"/>
                <w:lang w:eastAsia="uk-UA"/>
              </w:rPr>
              <w:t>заверш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ено капітальний ремонт, реконструкцію</w:t>
            </w: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066DEF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загальна </w:t>
            </w:r>
            <w:r w:rsidR="004A1537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протяжність автомобільних доріг загального користування місцевого значення, що потребують ремонту, реконструкції, станом на </w:t>
            </w:r>
            <w:r w:rsidR="009469EF">
              <w:rPr>
                <w:rFonts w:eastAsia="Times New Roman" w:cs="Times New Roman"/>
                <w:sz w:val="24"/>
                <w:szCs w:val="24"/>
                <w:lang w:eastAsia="uk-UA"/>
              </w:rPr>
              <w:t>0</w:t>
            </w:r>
            <w:r w:rsidR="004A1537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1 січня звітного року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</w:tr>
      <w:tr w:rsidR="004A1537" w:rsidRPr="001F23AD" w:rsidTr="00C526F6">
        <w:trPr>
          <w:trHeight w:val="1141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17694C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протяжність автомобільних доріг загального користування місцевого значення, на яких </w:t>
            </w:r>
            <w:r w:rsidR="0017694C">
              <w:rPr>
                <w:rFonts w:eastAsia="Times New Roman" w:cs="Times New Roman"/>
                <w:sz w:val="24"/>
                <w:szCs w:val="24"/>
                <w:lang w:eastAsia="uk-UA"/>
              </w:rPr>
              <w:t>завершено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капітальний ремонт, реконструкцію, наростаючим підсумком з початку року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4A1537" w:rsidRPr="001F23AD" w:rsidTr="00C526F6">
        <w:trPr>
          <w:trHeight w:val="1053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17694C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протяжність автомобільних доріг загального користування місцевого значення, на яких </w:t>
            </w:r>
            <w:r w:rsidR="0017694C">
              <w:rPr>
                <w:rFonts w:eastAsia="Times New Roman" w:cs="Times New Roman"/>
                <w:sz w:val="24"/>
                <w:szCs w:val="24"/>
                <w:lang w:eastAsia="uk-UA"/>
              </w:rPr>
              <w:t>завершено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поточний (середній) ремонт, наростаючим підсумком з початку року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4A1537" w:rsidRPr="001F23AD" w:rsidTr="00C526F6">
        <w:trPr>
          <w:trHeight w:val="1070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17694C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площа автомобільних доріг загального користування місцевого значення, на яких </w:t>
            </w:r>
            <w:r w:rsidR="0017694C">
              <w:rPr>
                <w:rFonts w:eastAsia="Times New Roman" w:cs="Times New Roman"/>
                <w:sz w:val="24"/>
                <w:szCs w:val="24"/>
                <w:lang w:eastAsia="uk-UA"/>
              </w:rPr>
              <w:t>завершено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ямковий та поточний дрібний ремонт, наростаючим підсумком з початку року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4A1537" w:rsidRPr="001F23AD" w:rsidTr="00C526F6">
        <w:trPr>
          <w:trHeight w:val="609"/>
        </w:trPr>
        <w:tc>
          <w:tcPr>
            <w:tcW w:w="518" w:type="dxa"/>
            <w:vMerge w:val="restart"/>
            <w:shd w:val="clear" w:color="auto" w:fill="auto"/>
            <w:noWrap/>
          </w:tcPr>
          <w:p w:rsidR="004A1537" w:rsidRPr="0017694C" w:rsidRDefault="004A1537" w:rsidP="004A153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7694C">
              <w:rPr>
                <w:rFonts w:eastAsia="Times New Roman" w:cs="Times New Roman"/>
                <w:sz w:val="24"/>
                <w:szCs w:val="24"/>
                <w:lang w:eastAsia="uk-UA"/>
              </w:rPr>
              <w:t>17</w:t>
            </w:r>
            <w:r w:rsidRPr="0017694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4A1537" w:rsidRPr="0017694C" w:rsidRDefault="004A1537" w:rsidP="00257F7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7694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Кількість будівель, в яких розміщені </w:t>
            </w:r>
            <w:r w:rsidR="0017694C" w:rsidRPr="0017694C">
              <w:rPr>
                <w:sz w:val="24"/>
                <w:szCs w:val="24"/>
                <w:lang w:eastAsia="ru-RU"/>
              </w:rPr>
              <w:t xml:space="preserve">місцеві держадміністрації та їх структурні підрозділи і які є доступними </w:t>
            </w:r>
            <w:r w:rsidRPr="0017694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для </w:t>
            </w:r>
            <w:r w:rsidR="00257F7A">
              <w:rPr>
                <w:rFonts w:eastAsia="Times New Roman" w:cs="Times New Roman"/>
                <w:sz w:val="24"/>
                <w:szCs w:val="24"/>
                <w:lang w:eastAsia="uk-UA"/>
              </w:rPr>
              <w:t>осіб</w:t>
            </w:r>
            <w:r w:rsidRPr="0017694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 інвалідністю</w:t>
            </w: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257F7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загальна кількість будівель, в яких розміщені </w:t>
            </w:r>
            <w:r w:rsidR="007D09BF" w:rsidRPr="0017694C">
              <w:rPr>
                <w:sz w:val="24"/>
                <w:szCs w:val="24"/>
                <w:lang w:eastAsia="ru-RU"/>
              </w:rPr>
              <w:t>місцеві держадміністрації та їх структурні підрозділи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, станом на останній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</w:tr>
      <w:tr w:rsidR="004A1537" w:rsidRPr="001F23AD" w:rsidTr="00C526F6">
        <w:trPr>
          <w:trHeight w:val="1128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257F7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загальна кількість будівель, в яких розміщені </w:t>
            </w:r>
            <w:r w:rsidR="007D09BF" w:rsidRPr="0017694C">
              <w:rPr>
                <w:sz w:val="24"/>
                <w:szCs w:val="24"/>
                <w:lang w:eastAsia="ru-RU"/>
              </w:rPr>
              <w:t xml:space="preserve">місцеві держадміністрації та їх структурні підрозділи і які є доступними </w:t>
            </w:r>
            <w:r w:rsidR="007D09BF" w:rsidRPr="0017694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для </w:t>
            </w:r>
            <w:r w:rsidR="00257F7A">
              <w:rPr>
                <w:rFonts w:eastAsia="Times New Roman" w:cs="Times New Roman"/>
                <w:sz w:val="24"/>
                <w:szCs w:val="24"/>
                <w:lang w:eastAsia="uk-UA"/>
              </w:rPr>
              <w:t>осіб</w:t>
            </w:r>
            <w:r w:rsidR="007D09BF" w:rsidRPr="0017694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 інвалідністю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375574" w:rsidRPr="001F23AD" w:rsidTr="00C526F6">
        <w:trPr>
          <w:trHeight w:val="1088"/>
        </w:trPr>
        <w:tc>
          <w:tcPr>
            <w:tcW w:w="518" w:type="dxa"/>
            <w:vMerge w:val="restart"/>
            <w:shd w:val="clear" w:color="auto" w:fill="auto"/>
            <w:noWrap/>
          </w:tcPr>
          <w:p w:rsidR="00375574" w:rsidRPr="001F23AD" w:rsidRDefault="00375574" w:rsidP="004A153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375574" w:rsidRPr="001F23AD" w:rsidRDefault="00375574" w:rsidP="003C2AA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Забезпечення </w:t>
            </w:r>
            <w:r w:rsidR="003C2AA0">
              <w:rPr>
                <w:rFonts w:eastAsia="Times New Roman" w:cs="Times New Roman"/>
                <w:sz w:val="24"/>
                <w:szCs w:val="24"/>
                <w:lang w:eastAsia="uk-UA"/>
              </w:rPr>
              <w:t>завершення будівництва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об’єктів незавершеного будівництва </w:t>
            </w:r>
            <w:r w:rsidR="003C2AA0">
              <w:rPr>
                <w:rFonts w:eastAsia="Times New Roman" w:cs="Times New Roman"/>
                <w:sz w:val="24"/>
                <w:szCs w:val="24"/>
                <w:lang w:eastAsia="uk-UA"/>
              </w:rPr>
              <w:t>державної та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комунальної форми власності,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проектний строк реалізації яких перевищено на три та більше років</w:t>
            </w:r>
            <w:r w:rsidR="003C2AA0">
              <w:rPr>
                <w:rFonts w:eastAsia="Times New Roman" w:cs="Times New Roman"/>
                <w:sz w:val="24"/>
                <w:szCs w:val="24"/>
                <w:lang w:eastAsia="uk-UA"/>
              </w:rPr>
              <w:t>, та прийняття їх в експлуатацію</w:t>
            </w:r>
          </w:p>
        </w:tc>
        <w:tc>
          <w:tcPr>
            <w:tcW w:w="6402" w:type="dxa"/>
            <w:shd w:val="clear" w:color="auto" w:fill="auto"/>
            <w:hideMark/>
          </w:tcPr>
          <w:p w:rsidR="00375574" w:rsidRPr="003C2AA0" w:rsidRDefault="003C2AA0" w:rsidP="003C2AA0">
            <w:pPr>
              <w:jc w:val="left"/>
              <w:rPr>
                <w:sz w:val="24"/>
                <w:szCs w:val="24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 xml:space="preserve">загальна </w:t>
            </w:r>
            <w:r w:rsidR="00375574" w:rsidRPr="00375574">
              <w:rPr>
                <w:sz w:val="24"/>
                <w:szCs w:val="24"/>
              </w:rPr>
              <w:t>кількість об’єктів незав</w:t>
            </w:r>
            <w:r>
              <w:rPr>
                <w:sz w:val="24"/>
                <w:szCs w:val="24"/>
              </w:rPr>
              <w:t>ершеного будівництва державної та</w:t>
            </w:r>
            <w:r w:rsidR="00375574" w:rsidRPr="00375574">
              <w:rPr>
                <w:sz w:val="24"/>
                <w:szCs w:val="24"/>
              </w:rPr>
              <w:t xml:space="preserve"> комунальної форми власності, проектний строк реалізації яких перевищено на три та більше років (крім тих, </w:t>
            </w:r>
            <w:r>
              <w:rPr>
                <w:sz w:val="24"/>
                <w:szCs w:val="24"/>
              </w:rPr>
              <w:t xml:space="preserve">що зняті </w:t>
            </w:r>
            <w:r w:rsidR="00375574" w:rsidRPr="00375574">
              <w:rPr>
                <w:sz w:val="24"/>
                <w:szCs w:val="24"/>
              </w:rPr>
              <w:t xml:space="preserve">з балансу внаслідок знесення, продажу </w:t>
            </w:r>
            <w:r w:rsidR="00375574" w:rsidRPr="00375574">
              <w:rPr>
                <w:sz w:val="24"/>
                <w:szCs w:val="24"/>
              </w:rPr>
              <w:lastRenderedPageBreak/>
              <w:t>тощо), станом на перший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375574" w:rsidRPr="001F23AD" w:rsidRDefault="00375574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 xml:space="preserve">Департамент розвитку громад та територій, дорожнього, житлово-комунального господарства, містобудування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та архітектури облдержадміністрації</w:t>
            </w:r>
          </w:p>
        </w:tc>
      </w:tr>
      <w:tr w:rsidR="00375574" w:rsidRPr="001F23AD" w:rsidTr="00C526F6">
        <w:trPr>
          <w:trHeight w:val="1118"/>
        </w:trPr>
        <w:tc>
          <w:tcPr>
            <w:tcW w:w="518" w:type="dxa"/>
            <w:vMerge/>
            <w:vAlign w:val="center"/>
            <w:hideMark/>
          </w:tcPr>
          <w:p w:rsidR="00375574" w:rsidRPr="001F23AD" w:rsidRDefault="00375574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375574" w:rsidRPr="001F23AD" w:rsidRDefault="00375574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375574" w:rsidRPr="00375574" w:rsidRDefault="00375574" w:rsidP="003C2AA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5574">
              <w:rPr>
                <w:sz w:val="24"/>
                <w:szCs w:val="24"/>
              </w:rPr>
              <w:t xml:space="preserve">кількість прийнятих в експлуатацію </w:t>
            </w:r>
            <w:r w:rsidR="003C2AA0">
              <w:rPr>
                <w:sz w:val="24"/>
                <w:szCs w:val="24"/>
              </w:rPr>
              <w:t xml:space="preserve">протягом періоду </w:t>
            </w:r>
            <w:r w:rsidRPr="00375574">
              <w:rPr>
                <w:sz w:val="24"/>
                <w:szCs w:val="24"/>
              </w:rPr>
              <w:t xml:space="preserve">об’єктів незавершеного будівництва </w:t>
            </w:r>
            <w:r w:rsidR="003C2AA0">
              <w:rPr>
                <w:sz w:val="24"/>
                <w:szCs w:val="24"/>
              </w:rPr>
              <w:t>державної та</w:t>
            </w:r>
            <w:r w:rsidRPr="00375574">
              <w:rPr>
                <w:sz w:val="24"/>
                <w:szCs w:val="24"/>
              </w:rPr>
              <w:t xml:space="preserve"> комунальної форми власності, проектний строк реалізації яких перевищено на три та більше років,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375574" w:rsidRPr="001F23AD" w:rsidRDefault="00375574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375574" w:rsidRPr="001F23AD" w:rsidTr="00C526F6">
        <w:trPr>
          <w:trHeight w:val="1140"/>
        </w:trPr>
        <w:tc>
          <w:tcPr>
            <w:tcW w:w="518" w:type="dxa"/>
            <w:vMerge/>
            <w:shd w:val="clear" w:color="auto" w:fill="auto"/>
            <w:noWrap/>
          </w:tcPr>
          <w:p w:rsidR="00375574" w:rsidRDefault="00375574" w:rsidP="004A153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shd w:val="clear" w:color="auto" w:fill="auto"/>
          </w:tcPr>
          <w:p w:rsidR="00375574" w:rsidRPr="001F23AD" w:rsidRDefault="00375574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375574" w:rsidRPr="00375574" w:rsidRDefault="00375574" w:rsidP="003C2AA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75574">
              <w:rPr>
                <w:sz w:val="24"/>
                <w:szCs w:val="24"/>
              </w:rPr>
              <w:t>кількість об’єктів незавершеного будівництва комунальної форми власності, проектний строк реалізації яких перевищено на три та більше років, станом на останній день періоду</w:t>
            </w:r>
          </w:p>
        </w:tc>
        <w:tc>
          <w:tcPr>
            <w:tcW w:w="3534" w:type="dxa"/>
            <w:vMerge/>
            <w:shd w:val="clear" w:color="auto" w:fill="auto"/>
          </w:tcPr>
          <w:p w:rsidR="00375574" w:rsidRPr="001F23AD" w:rsidRDefault="00375574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4A1537" w:rsidRPr="001F23AD" w:rsidTr="00C526F6">
        <w:trPr>
          <w:trHeight w:val="1273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4A1537" w:rsidRPr="001F23AD" w:rsidRDefault="0017694C" w:rsidP="004A153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19</w:t>
            </w:r>
            <w:r w:rsidR="004A153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соціальних закладів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, що використовують фіксований широкосмуговий доступ до Інтернету із швидкістю не менше 100 Мбіт/с</w:t>
            </w: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загальна кількість соціальних закладів, що повинні бути забезпечені фіксованим широкосмуговим доступом до Інтернету із швидкістю не менше 100 Мбіт/с, станом на останній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освіти, науки та молодіжної політики облдержадміністрації, департамент охорони здоров'я облдержадміністрації, департамент соціальної політики облдержадміністрації, управління культури, національностей та релігій облдержадміністрації, управління спорту облдержадміністрації</w:t>
            </w:r>
          </w:p>
        </w:tc>
      </w:tr>
      <w:tr w:rsidR="004A1537" w:rsidRPr="001F23AD" w:rsidTr="00C526F6">
        <w:trPr>
          <w:trHeight w:val="1249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соціальних закладів, які забезпечені фіксованим широкосмуговим доступом до Інтернету із швидкістю не менше 100 Мбіт/с,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4A1537" w:rsidRPr="001F23AD" w:rsidTr="00C526F6">
        <w:trPr>
          <w:trHeight w:val="920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4A1537" w:rsidRPr="001F23AD" w:rsidRDefault="0017694C" w:rsidP="00C12B9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="00C12B97">
              <w:rPr>
                <w:rFonts w:eastAsia="Times New Roman" w:cs="Times New Roman"/>
                <w:sz w:val="24"/>
                <w:szCs w:val="24"/>
                <w:lang w:eastAsia="uk-UA"/>
              </w:rPr>
              <w:t>0</w:t>
            </w:r>
            <w:r w:rsidR="004A153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4A1537" w:rsidRPr="001F23AD" w:rsidRDefault="004A1537" w:rsidP="001E26CE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Забезпечен</w:t>
            </w:r>
            <w:r w:rsidR="001E26CE">
              <w:rPr>
                <w:rFonts w:eastAsia="Times New Roman" w:cs="Times New Roman"/>
                <w:sz w:val="24"/>
                <w:szCs w:val="24"/>
                <w:lang w:eastAsia="uk-UA"/>
              </w:rPr>
              <w:t>ість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E26CE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центрами надання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адміністративних послуг</w:t>
            </w: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загальна кількість центрів надання адміністративних послуг</w:t>
            </w:r>
          </w:p>
        </w:tc>
        <w:tc>
          <w:tcPr>
            <w:tcW w:w="3534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економічного розвитку, промисловості та інфраструктури облдержадміністрації</w:t>
            </w:r>
          </w:p>
        </w:tc>
      </w:tr>
      <w:tr w:rsidR="004A1537" w:rsidRPr="001F23AD" w:rsidTr="00C526F6">
        <w:trPr>
          <w:trHeight w:val="524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9469E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загальна чисельність наявного населення станом на </w:t>
            </w:r>
            <w:r w:rsidR="009469EF">
              <w:rPr>
                <w:rFonts w:eastAsia="Times New Roman" w:cs="Times New Roman"/>
                <w:sz w:val="24"/>
                <w:szCs w:val="24"/>
                <w:lang w:eastAsia="uk-UA"/>
              </w:rPr>
              <w:t>0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  <w:r w:rsidR="009469E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січня відповідного року</w:t>
            </w:r>
          </w:p>
        </w:tc>
        <w:tc>
          <w:tcPr>
            <w:tcW w:w="3534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Головне управління статистики в Івано-Франківській області</w:t>
            </w:r>
          </w:p>
        </w:tc>
      </w:tr>
      <w:tr w:rsidR="00C12B97" w:rsidRPr="001F23AD" w:rsidTr="00C526F6">
        <w:trPr>
          <w:trHeight w:val="532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C12B97" w:rsidRPr="001F23AD" w:rsidRDefault="00C12B97" w:rsidP="00C12B9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lastRenderedPageBreak/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12B97" w:rsidRPr="00C12B97" w:rsidRDefault="00C12B9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2B97">
              <w:rPr>
                <w:sz w:val="24"/>
                <w:szCs w:val="24"/>
                <w:lang w:eastAsia="ru-RU"/>
              </w:rPr>
              <w:t>Кількість центрів надання адміністративних послуг, утворених міськими, селищними, сільськими радами з метою оптимізації мережі центрів надання адміністративних послуг</w:t>
            </w:r>
          </w:p>
        </w:tc>
        <w:tc>
          <w:tcPr>
            <w:tcW w:w="6402" w:type="dxa"/>
            <w:shd w:val="clear" w:color="auto" w:fill="auto"/>
            <w:hideMark/>
          </w:tcPr>
          <w:p w:rsidR="00C12B97" w:rsidRPr="00C12B97" w:rsidRDefault="00C12B9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2B97">
              <w:rPr>
                <w:sz w:val="24"/>
                <w:szCs w:val="24"/>
                <w:lang w:eastAsia="ru-RU"/>
              </w:rPr>
              <w:t xml:space="preserve">загальна кількість населених пунктів станом на </w:t>
            </w:r>
            <w:r w:rsidR="009469EF">
              <w:rPr>
                <w:sz w:val="24"/>
                <w:szCs w:val="24"/>
                <w:lang w:eastAsia="ru-RU"/>
              </w:rPr>
              <w:t>0</w:t>
            </w:r>
            <w:r w:rsidRPr="00C12B97">
              <w:rPr>
                <w:sz w:val="24"/>
                <w:szCs w:val="24"/>
                <w:lang w:eastAsia="ru-RU"/>
              </w:rPr>
              <w:t>1 січня звітного року</w:t>
            </w:r>
          </w:p>
        </w:tc>
        <w:tc>
          <w:tcPr>
            <w:tcW w:w="3534" w:type="dxa"/>
            <w:shd w:val="clear" w:color="auto" w:fill="auto"/>
            <w:hideMark/>
          </w:tcPr>
          <w:p w:rsidR="00C12B97" w:rsidRPr="001F23AD" w:rsidRDefault="00C12B9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Головне управління статистики в Івано-Франківській області</w:t>
            </w:r>
          </w:p>
        </w:tc>
      </w:tr>
      <w:tr w:rsidR="00C12B97" w:rsidRPr="001F23AD" w:rsidTr="00C526F6">
        <w:trPr>
          <w:trHeight w:val="938"/>
        </w:trPr>
        <w:tc>
          <w:tcPr>
            <w:tcW w:w="518" w:type="dxa"/>
            <w:vMerge/>
            <w:vAlign w:val="center"/>
            <w:hideMark/>
          </w:tcPr>
          <w:p w:rsidR="00C12B97" w:rsidRPr="001F23AD" w:rsidRDefault="00C12B9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12B97" w:rsidRPr="00C12B97" w:rsidRDefault="00C12B9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12B97" w:rsidRPr="00C12B97" w:rsidRDefault="00C12B9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2B97">
              <w:rPr>
                <w:sz w:val="24"/>
                <w:szCs w:val="24"/>
                <w:lang w:eastAsia="uk-UA"/>
              </w:rPr>
              <w:t>кількість центрів надання адміністративних послуг, утворених міськими, селищними та сільськими радами, станом на останній день періоду</w:t>
            </w:r>
          </w:p>
        </w:tc>
        <w:tc>
          <w:tcPr>
            <w:tcW w:w="3534" w:type="dxa"/>
            <w:shd w:val="clear" w:color="auto" w:fill="auto"/>
            <w:hideMark/>
          </w:tcPr>
          <w:p w:rsidR="00C12B97" w:rsidRPr="001F23AD" w:rsidRDefault="00C12B9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економічного розвитку, промисловості та інфраструктури облдержадміністрації</w:t>
            </w:r>
          </w:p>
        </w:tc>
      </w:tr>
      <w:tr w:rsidR="004A1537" w:rsidRPr="001F23AD" w:rsidTr="00C526F6">
        <w:trPr>
          <w:trHeight w:val="596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4A1537" w:rsidRPr="001F23AD" w:rsidRDefault="00C12B97" w:rsidP="004A153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  <w:r w:rsidR="004A153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Сумарна потужність альтернативних джерел енергії (електричної та теплової)</w:t>
            </w: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сумарна потужність усіх джерел енергії (електричної та теплової) станом на останній день періоду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Департамент економічного розвитку, промисловості та інфраструктури облдержадміністрації</w:t>
            </w:r>
          </w:p>
        </w:tc>
      </w:tr>
      <w:tr w:rsidR="004A1537" w:rsidRPr="001F23AD" w:rsidTr="00C526F6">
        <w:trPr>
          <w:trHeight w:val="558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сумарна потужність альтернативних джерел енергії (електричної та теплової)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A1537" w:rsidRPr="001F23AD" w:rsidTr="00C526F6">
        <w:trPr>
          <w:trHeight w:val="531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4A1537" w:rsidRPr="001F23AD" w:rsidRDefault="00C12B97" w:rsidP="004A153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23</w:t>
            </w:r>
            <w:r w:rsidR="004A153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4A1537" w:rsidRPr="001A4AEE" w:rsidRDefault="001A4AEE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A4AEE">
              <w:rPr>
                <w:sz w:val="24"/>
                <w:szCs w:val="24"/>
              </w:rPr>
              <w:t>Площа природно-заповідного фонду</w:t>
            </w:r>
          </w:p>
        </w:tc>
        <w:tc>
          <w:tcPr>
            <w:tcW w:w="6402" w:type="dxa"/>
            <w:shd w:val="clear" w:color="auto" w:fill="auto"/>
            <w:hideMark/>
          </w:tcPr>
          <w:p w:rsidR="004A1537" w:rsidRPr="001A4AEE" w:rsidRDefault="001A4AEE" w:rsidP="0037742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A4AEE">
              <w:rPr>
                <w:sz w:val="24"/>
                <w:szCs w:val="24"/>
                <w:shd w:val="clear" w:color="auto" w:fill="FFFFFF"/>
              </w:rPr>
              <w:t xml:space="preserve">загальна площа територій та об’єктів природно-заповідного фонду станом на </w:t>
            </w:r>
            <w:r w:rsidR="009469EF">
              <w:rPr>
                <w:sz w:val="24"/>
                <w:szCs w:val="24"/>
                <w:shd w:val="clear" w:color="auto" w:fill="FFFFFF"/>
              </w:rPr>
              <w:t>0</w:t>
            </w:r>
            <w:r w:rsidRPr="001A4AEE">
              <w:rPr>
                <w:sz w:val="24"/>
                <w:szCs w:val="24"/>
                <w:shd w:val="clear" w:color="auto" w:fill="FFFFFF"/>
              </w:rPr>
              <w:t>1 січня звітного року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Управління екології та природних ресурсів облдержадміністрації</w:t>
            </w:r>
          </w:p>
        </w:tc>
      </w:tr>
      <w:tr w:rsidR="004A1537" w:rsidRPr="001F23AD" w:rsidTr="00C526F6">
        <w:trPr>
          <w:trHeight w:val="825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A4AEE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A4AEE" w:rsidRDefault="001A4AEE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A4AEE">
              <w:rPr>
                <w:sz w:val="24"/>
                <w:szCs w:val="24"/>
                <w:shd w:val="clear" w:color="auto" w:fill="FFFFFF"/>
              </w:rPr>
              <w:t>загальна площа територій та об’єктів природно-заповідного фонду, яка створена (оголошена)</w:t>
            </w:r>
            <w:r w:rsidR="00377420">
              <w:rPr>
                <w:sz w:val="24"/>
                <w:szCs w:val="24"/>
                <w:shd w:val="clear" w:color="auto" w:fill="FFFFFF"/>
              </w:rPr>
              <w:t>,</w:t>
            </w:r>
            <w:r w:rsidRPr="001A4AEE">
              <w:rPr>
                <w:sz w:val="24"/>
                <w:szCs w:val="24"/>
                <w:shd w:val="clear" w:color="auto" w:fill="FFFFFF"/>
              </w:rPr>
              <w:t xml:space="preserve">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A1537" w:rsidRPr="001F23AD" w:rsidTr="00C526F6">
        <w:trPr>
          <w:trHeight w:val="584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4A1537" w:rsidRPr="001F23AD" w:rsidRDefault="0017694C" w:rsidP="001A4AEE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="001A4AEE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  <w:r w:rsidR="004A153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Рівень інвентаризації земель регіону державної та комунальної форми власності</w:t>
            </w: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загальна площа земель регіону державної та комунальної форми власності станом на </w:t>
            </w:r>
            <w:r w:rsidR="009469E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 січня звітного року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Головне управління </w:t>
            </w:r>
            <w:proofErr w:type="spellStart"/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Івано-Франківській 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області</w:t>
            </w:r>
          </w:p>
        </w:tc>
      </w:tr>
      <w:tr w:rsidR="004A1537" w:rsidRPr="001F23AD" w:rsidTr="00C526F6">
        <w:trPr>
          <w:trHeight w:val="800"/>
        </w:trPr>
        <w:tc>
          <w:tcPr>
            <w:tcW w:w="518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загальна площа інвентаризованих земель регіону державної та комунальної форми власності 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4A1537" w:rsidRPr="001F23AD" w:rsidRDefault="004A1537" w:rsidP="004A153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685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C44917" w:rsidRPr="001F23AD" w:rsidRDefault="00533096" w:rsidP="001A4AEE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br w:type="page"/>
            </w:r>
            <w:r w:rsidR="00C44917">
              <w:br w:type="page"/>
            </w:r>
            <w:r w:rsidR="00C44917">
              <w:rPr>
                <w:rFonts w:eastAsia="Times New Roman" w:cs="Times New Roman"/>
                <w:sz w:val="24"/>
                <w:szCs w:val="24"/>
                <w:lang w:eastAsia="uk-UA"/>
              </w:rPr>
              <w:t>25</w:t>
            </w:r>
            <w:r w:rsidR="00C4491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shd w:val="clear" w:color="auto" w:fill="auto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Виконання бюджетної програми “Державний фонд регіонального розвитку”: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</w:tr>
      <w:tr w:rsidR="00C44917" w:rsidRPr="001F23AD" w:rsidTr="00C526F6">
        <w:trPr>
          <w:trHeight w:val="1110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1) підготовчий етап — оголошення та проведення конкурсного відбору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0C1A64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оголошення про проведення оцінки та конкурсного відбору інвестиційних програм і проектів, що можуть реалізовуватися за рахунок коштів</w:t>
            </w:r>
            <w:r w:rsidR="000C1A6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бюджетної програми «Державний фонд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регіонального розвитку</w:t>
            </w:r>
            <w:r w:rsidR="000C1A64">
              <w:rPr>
                <w:rFonts w:eastAsia="Times New Roman" w:cs="Times New Roman"/>
                <w:sz w:val="24"/>
                <w:szCs w:val="24"/>
                <w:lang w:eastAsia="uk-UA"/>
              </w:rPr>
              <w:t>»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у звітному році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1126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проведення оцінки та конкурсного відбору регіональною комісією інвестиційних програм і проектів регіонального розвитку, що можуть реалізовуватися за рахунок коштів </w:t>
            </w:r>
            <w:r w:rsidR="00533096">
              <w:rPr>
                <w:rFonts w:eastAsia="Times New Roman" w:cs="Times New Roman"/>
                <w:sz w:val="24"/>
                <w:szCs w:val="24"/>
                <w:lang w:eastAsia="uk-UA"/>
              </w:rPr>
              <w:t>бюджетної програми «Державний фонд</w:t>
            </w:r>
            <w:r w:rsidR="0053309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регіонального розвитку</w:t>
            </w:r>
            <w:r w:rsidR="00533096">
              <w:rPr>
                <w:rFonts w:eastAsia="Times New Roman" w:cs="Times New Roman"/>
                <w:sz w:val="24"/>
                <w:szCs w:val="24"/>
                <w:lang w:eastAsia="uk-UA"/>
              </w:rPr>
              <w:t>»</w:t>
            </w:r>
            <w:r w:rsidR="0053309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у звітному році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57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формування за результатами оцінки та конкурсного відбору, проведених регіональною комісією, узагальненого переліку інвестиційних програм і проектів, що можуть реалізовуватися на відповідній території за рахунок коштів </w:t>
            </w:r>
            <w:r w:rsidR="00533096">
              <w:rPr>
                <w:rFonts w:eastAsia="Times New Roman" w:cs="Times New Roman"/>
                <w:sz w:val="24"/>
                <w:szCs w:val="24"/>
                <w:lang w:eastAsia="uk-UA"/>
              </w:rPr>
              <w:t>бюджетної програми «Державний фонд</w:t>
            </w:r>
            <w:r w:rsidR="0053309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регіонального розвитку</w:t>
            </w:r>
            <w:r w:rsidR="00533096">
              <w:rPr>
                <w:rFonts w:eastAsia="Times New Roman" w:cs="Times New Roman"/>
                <w:sz w:val="24"/>
                <w:szCs w:val="24"/>
                <w:lang w:eastAsia="uk-UA"/>
              </w:rPr>
              <w:t>»</w:t>
            </w:r>
            <w:r w:rsidR="0053309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 звітному році, та подання його в установленому порядку </w:t>
            </w:r>
            <w:proofErr w:type="spellStart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Мінрегіону</w:t>
            </w:r>
            <w:proofErr w:type="spellEnd"/>
          </w:p>
        </w:tc>
        <w:tc>
          <w:tcPr>
            <w:tcW w:w="3534" w:type="dxa"/>
            <w:vMerge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2542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37742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схвалення комісією з оцінки та відбору інвестиційних програм та проектів регіонального розвитку, що можуть реалізовуватися за рахунок коштів </w:t>
            </w:r>
            <w:r w:rsidR="00533096">
              <w:rPr>
                <w:rFonts w:eastAsia="Times New Roman" w:cs="Times New Roman"/>
                <w:sz w:val="24"/>
                <w:szCs w:val="24"/>
                <w:lang w:eastAsia="uk-UA"/>
              </w:rPr>
              <w:t>бюджетної програми «Державний фонд</w:t>
            </w:r>
            <w:r w:rsidR="0053309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регіонального розвитку</w:t>
            </w:r>
            <w:r w:rsidR="00533096">
              <w:rPr>
                <w:rFonts w:eastAsia="Times New Roman" w:cs="Times New Roman"/>
                <w:sz w:val="24"/>
                <w:szCs w:val="24"/>
                <w:lang w:eastAsia="uk-UA"/>
              </w:rPr>
              <w:t>»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утвореною </w:t>
            </w:r>
            <w:proofErr w:type="spellStart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Мінрегіоном</w:t>
            </w:r>
            <w:proofErr w:type="spellEnd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оцінки та перевірки відповідності поданих </w:t>
            </w:r>
            <w:r w:rsidR="00533096">
              <w:rPr>
                <w:rFonts w:eastAsia="Times New Roman" w:cs="Times New Roman"/>
                <w:sz w:val="24"/>
                <w:szCs w:val="24"/>
                <w:lang w:eastAsia="uk-UA"/>
              </w:rPr>
              <w:t>облдержадміністрацією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документів вимогам законодавства (крім пропозицій стосовно програм і проектів, що мають на меті розвиток спортивної інфраструктури, п</w:t>
            </w:r>
            <w:r w:rsidR="0042130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огоджених з </w:t>
            </w:r>
            <w:proofErr w:type="spellStart"/>
            <w:r w:rsidR="0042130A">
              <w:rPr>
                <w:rFonts w:eastAsia="Times New Roman" w:cs="Times New Roman"/>
                <w:sz w:val="24"/>
                <w:szCs w:val="24"/>
                <w:lang w:eastAsia="uk-UA"/>
              </w:rPr>
              <w:t>Мінмолодьспорт</w:t>
            </w:r>
            <w:r w:rsidR="00B303D7">
              <w:rPr>
                <w:rFonts w:eastAsia="Times New Roman" w:cs="Times New Roman"/>
                <w:sz w:val="24"/>
                <w:szCs w:val="24"/>
                <w:lang w:eastAsia="uk-UA"/>
              </w:rPr>
              <w:t>у</w:t>
            </w:r>
            <w:proofErr w:type="spellEnd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60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19654E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2) етап фінансування – </w:t>
            </w:r>
            <w:r w:rsidR="00C44917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рівень використання коштів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бюджетної програми «Державний фонд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регіонального розвитку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коштів, передбачений розподілом на відповідний рік за загальним та спеціальним фондом</w:t>
            </w:r>
          </w:p>
        </w:tc>
        <w:tc>
          <w:tcPr>
            <w:tcW w:w="3534" w:type="dxa"/>
            <w:vMerge/>
            <w:shd w:val="clear" w:color="auto" w:fill="auto"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55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19654E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обсяг спрямованих асигнувань наростаючим підсумком з початку року станом на </w:t>
            </w:r>
            <w:r w:rsidR="0019654E">
              <w:rPr>
                <w:rFonts w:eastAsia="Times New Roman" w:cs="Times New Roman"/>
                <w:sz w:val="24"/>
                <w:szCs w:val="24"/>
                <w:lang w:eastAsia="uk-UA"/>
              </w:rPr>
              <w:t>звітну дату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62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19654E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обсяг касових видатків наростаючим підсумком з початку року станом на </w:t>
            </w:r>
            <w:r w:rsidR="0019654E">
              <w:rPr>
                <w:rFonts w:eastAsia="Times New Roman" w:cs="Times New Roman"/>
                <w:sz w:val="24"/>
                <w:szCs w:val="24"/>
                <w:lang w:eastAsia="uk-UA"/>
              </w:rPr>
              <w:t>звітну дату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43"/>
        </w:trPr>
        <w:tc>
          <w:tcPr>
            <w:tcW w:w="518" w:type="dxa"/>
            <w:vMerge/>
            <w:shd w:val="clear" w:color="auto" w:fill="auto"/>
            <w:noWrap/>
          </w:tcPr>
          <w:p w:rsidR="00C44917" w:rsidRDefault="00C44917" w:rsidP="004A153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 w:val="restart"/>
            <w:shd w:val="clear" w:color="auto" w:fill="auto"/>
          </w:tcPr>
          <w:p w:rsidR="00C44917" w:rsidRPr="00C44917" w:rsidRDefault="00C44917" w:rsidP="0024357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44917">
              <w:rPr>
                <w:sz w:val="24"/>
                <w:szCs w:val="24"/>
                <w:lang w:eastAsia="ru-RU"/>
              </w:rPr>
              <w:t xml:space="preserve">3) етап виконання робіт – завершення реалізації проектів регіонального розвитку у визначені </w:t>
            </w:r>
            <w:r w:rsidR="0024357F">
              <w:rPr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6402" w:type="dxa"/>
            <w:shd w:val="clear" w:color="auto" w:fill="auto"/>
          </w:tcPr>
          <w:p w:rsidR="00C44917" w:rsidRPr="00C44917" w:rsidRDefault="00C44917" w:rsidP="0024357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44917">
              <w:rPr>
                <w:sz w:val="24"/>
                <w:szCs w:val="24"/>
                <w:lang w:eastAsia="uk-UA"/>
              </w:rPr>
              <w:t xml:space="preserve">кількість проектів, </w:t>
            </w:r>
            <w:r w:rsidR="0024357F">
              <w:rPr>
                <w:sz w:val="24"/>
                <w:szCs w:val="24"/>
                <w:lang w:eastAsia="uk-UA"/>
              </w:rPr>
              <w:t>завершення реалізації яких заплановане</w:t>
            </w:r>
            <w:r w:rsidRPr="00C44917">
              <w:rPr>
                <w:sz w:val="24"/>
                <w:szCs w:val="24"/>
                <w:lang w:eastAsia="uk-UA"/>
              </w:rPr>
              <w:t xml:space="preserve"> </w:t>
            </w:r>
            <w:r w:rsidR="0024357F">
              <w:rPr>
                <w:sz w:val="24"/>
                <w:szCs w:val="24"/>
                <w:lang w:eastAsia="uk-UA"/>
              </w:rPr>
              <w:t xml:space="preserve">у </w:t>
            </w:r>
            <w:r w:rsidRPr="00C44917">
              <w:rPr>
                <w:sz w:val="24"/>
                <w:szCs w:val="24"/>
                <w:lang w:eastAsia="uk-UA"/>
              </w:rPr>
              <w:t>звітн</w:t>
            </w:r>
            <w:r w:rsidR="0024357F">
              <w:rPr>
                <w:sz w:val="24"/>
                <w:szCs w:val="24"/>
                <w:lang w:eastAsia="uk-UA"/>
              </w:rPr>
              <w:t>ому</w:t>
            </w:r>
            <w:r w:rsidRPr="00C44917">
              <w:rPr>
                <w:sz w:val="24"/>
                <w:szCs w:val="24"/>
                <w:lang w:eastAsia="uk-UA"/>
              </w:rPr>
              <w:t xml:space="preserve"> період</w:t>
            </w:r>
            <w:r w:rsidR="0024357F">
              <w:rPr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534" w:type="dxa"/>
            <w:vMerge/>
            <w:shd w:val="clear" w:color="auto" w:fill="auto"/>
          </w:tcPr>
          <w:p w:rsidR="00C44917" w:rsidRPr="001F23AD" w:rsidRDefault="00C44917" w:rsidP="004A153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24357F" w:rsidRPr="001F23AD" w:rsidTr="00C526F6">
        <w:trPr>
          <w:trHeight w:val="543"/>
        </w:trPr>
        <w:tc>
          <w:tcPr>
            <w:tcW w:w="518" w:type="dxa"/>
            <w:vMerge/>
            <w:shd w:val="clear" w:color="auto" w:fill="auto"/>
            <w:noWrap/>
          </w:tcPr>
          <w:p w:rsidR="0024357F" w:rsidRDefault="0024357F" w:rsidP="0024357F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shd w:val="clear" w:color="auto" w:fill="auto"/>
          </w:tcPr>
          <w:p w:rsidR="0024357F" w:rsidRPr="00C44917" w:rsidRDefault="0024357F" w:rsidP="0024357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24357F" w:rsidRDefault="0024357F" w:rsidP="0024357F">
            <w:r w:rsidRPr="00476EE1">
              <w:rPr>
                <w:sz w:val="24"/>
                <w:szCs w:val="24"/>
                <w:lang w:eastAsia="uk-UA"/>
              </w:rPr>
              <w:t xml:space="preserve">кількість проектів, завершення реалізації яких заплановане </w:t>
            </w:r>
            <w:r>
              <w:rPr>
                <w:sz w:val="24"/>
                <w:szCs w:val="24"/>
                <w:lang w:eastAsia="uk-UA"/>
              </w:rPr>
              <w:t xml:space="preserve">і здійснене </w:t>
            </w:r>
            <w:r w:rsidRPr="00476EE1">
              <w:rPr>
                <w:sz w:val="24"/>
                <w:szCs w:val="24"/>
                <w:lang w:eastAsia="uk-UA"/>
              </w:rPr>
              <w:t>у звітному періоді</w:t>
            </w:r>
          </w:p>
        </w:tc>
        <w:tc>
          <w:tcPr>
            <w:tcW w:w="3534" w:type="dxa"/>
            <w:vMerge/>
            <w:shd w:val="clear" w:color="auto" w:fill="auto"/>
          </w:tcPr>
          <w:p w:rsidR="0024357F" w:rsidRPr="001F23AD" w:rsidRDefault="0024357F" w:rsidP="0024357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59"/>
        </w:trPr>
        <w:tc>
          <w:tcPr>
            <w:tcW w:w="518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26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Рівень використання коштів дорожнього фонду, передбачених для будівництва, реконструкції, ремонту та утримання автомобільних доріг загального користування місцевого значення, вулиць і доріг комунальної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власності у населених пунктах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24357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 xml:space="preserve">обсяг спрямованих асигнувань наростаючим підсумком з початку року станом на </w:t>
            </w:r>
            <w:r w:rsidR="0024357F">
              <w:rPr>
                <w:rFonts w:eastAsia="Times New Roman" w:cs="Times New Roman"/>
                <w:sz w:val="24"/>
                <w:szCs w:val="24"/>
                <w:lang w:eastAsia="uk-UA"/>
              </w:rPr>
              <w:t>звітну дату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</w:tr>
      <w:tr w:rsidR="00C44917" w:rsidRPr="001F23AD" w:rsidTr="00C526F6">
        <w:trPr>
          <w:trHeight w:val="538"/>
        </w:trPr>
        <w:tc>
          <w:tcPr>
            <w:tcW w:w="518" w:type="dxa"/>
            <w:vMerge/>
            <w:shd w:val="clear" w:color="auto" w:fill="auto"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shd w:val="clear" w:color="auto" w:fill="auto"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24357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касові видатки наростаючим підсумком з початку року станом на </w:t>
            </w:r>
            <w:r w:rsidR="0024357F">
              <w:rPr>
                <w:rFonts w:eastAsia="Times New Roman" w:cs="Times New Roman"/>
                <w:sz w:val="24"/>
                <w:szCs w:val="24"/>
                <w:lang w:eastAsia="uk-UA"/>
              </w:rPr>
              <w:t>звітну дату</w:t>
            </w:r>
          </w:p>
        </w:tc>
        <w:tc>
          <w:tcPr>
            <w:tcW w:w="3534" w:type="dxa"/>
            <w:vMerge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606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C44917" w:rsidRPr="001F23AD" w:rsidRDefault="00C44917" w:rsidP="00C449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27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Рівень використання субвенцій на розвиток освіти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обсяг коштів, передбачених розподілом на відповідний рік за загальним та спеціальним фондом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Департамент освіти, науки та молодіжної політики облдержадміністрації, департамент фінансів облдержадміністрації</w:t>
            </w:r>
          </w:p>
        </w:tc>
      </w:tr>
      <w:tr w:rsidR="00C44917" w:rsidRPr="001F23AD" w:rsidTr="00C526F6">
        <w:trPr>
          <w:trHeight w:val="559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обсяг спрямованих асигнувань наростаючим підсумком з початку року станом на </w:t>
            </w:r>
            <w:r w:rsidR="0024357F">
              <w:rPr>
                <w:rFonts w:eastAsia="Times New Roman" w:cs="Times New Roman"/>
                <w:sz w:val="24"/>
                <w:szCs w:val="24"/>
                <w:lang w:eastAsia="uk-UA"/>
              </w:rPr>
              <w:t>звітну дату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70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касові видатки наростаючим підсумком з початку року станом на </w:t>
            </w:r>
            <w:r w:rsidR="0024357F">
              <w:rPr>
                <w:rFonts w:eastAsia="Times New Roman" w:cs="Times New Roman"/>
                <w:sz w:val="24"/>
                <w:szCs w:val="24"/>
                <w:lang w:eastAsia="uk-UA"/>
              </w:rPr>
              <w:t>звітну дату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622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C44917" w:rsidRPr="001F23AD" w:rsidRDefault="007D17B1" w:rsidP="00C449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28</w:t>
            </w:r>
            <w:r w:rsidR="00C4491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Рівень надходжень податку на доходи фізичних осіб на одну особу наявного населення станом на </w:t>
            </w:r>
            <w:r w:rsidR="009469EF">
              <w:rPr>
                <w:rFonts w:eastAsia="Times New Roman" w:cs="Times New Roman"/>
                <w:sz w:val="24"/>
                <w:szCs w:val="24"/>
                <w:lang w:eastAsia="uk-UA"/>
              </w:rPr>
              <w:t>0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1 січня попереднього року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обсяг податку на доходи фізичних осіб на одну особу станом на звітну дату 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Департамент фінансів облдержадміністрації, Головне управління державної податкової служби </w:t>
            </w:r>
            <w:r w:rsidRPr="001F23AD">
              <w:rPr>
                <w:rFonts w:eastAsia="Times New Roman" w:cs="Times New Roman"/>
                <w:spacing w:val="-10"/>
                <w:sz w:val="24"/>
                <w:szCs w:val="24"/>
                <w:lang w:eastAsia="uk-UA"/>
              </w:rPr>
              <w:t>в Івано-Франківській області</w:t>
            </w:r>
          </w:p>
        </w:tc>
      </w:tr>
      <w:tr w:rsidR="00C44917" w:rsidRPr="001F23AD" w:rsidTr="00C526F6">
        <w:trPr>
          <w:trHeight w:val="599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24357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обсяг податку на доходи фізичних осіб на одну особу </w:t>
            </w:r>
            <w:r w:rsidR="0024357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станом на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відповідну </w:t>
            </w:r>
            <w:r w:rsidR="0024357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звітну дату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попереднього року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84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C44917" w:rsidRPr="001F23AD" w:rsidRDefault="007D17B1" w:rsidP="00C449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29</w:t>
            </w:r>
            <w:r w:rsidR="00C4491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Рівень виконання доходів загального фонду зведеного бюджету області (без</w:t>
            </w:r>
            <w:r w:rsidR="009A3F0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урахування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міжбюджетних трансфертів)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коштів, затверджений місцевими радами на відповідний рік (з урахуванням змін)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фінансів облдержадміністрації</w:t>
            </w:r>
          </w:p>
        </w:tc>
      </w:tr>
      <w:tr w:rsidR="00C44917" w:rsidRPr="001F23AD" w:rsidTr="00C526F6">
        <w:trPr>
          <w:trHeight w:val="550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надходження коштів наростаючим підсумком з початку року станом на звітну дату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40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C44917" w:rsidRPr="001F23AD" w:rsidRDefault="00C44917" w:rsidP="007D17B1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br w:type="page"/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 w:rsidR="007D17B1">
              <w:rPr>
                <w:rFonts w:eastAsia="Times New Roman" w:cs="Times New Roman"/>
                <w:sz w:val="24"/>
                <w:szCs w:val="24"/>
                <w:lang w:eastAsia="uk-UA"/>
              </w:rPr>
              <w:t>0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доходів зведеного бюджету області (без міжбюджетних трансфертів)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надходження коштів загального фонду наростаючим підсумком з початку року станом на звітну дату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фінансів облдержадміністрації</w:t>
            </w:r>
          </w:p>
        </w:tc>
      </w:tr>
      <w:tr w:rsidR="00C44917" w:rsidRPr="001F23AD" w:rsidTr="00C526F6">
        <w:trPr>
          <w:trHeight w:val="894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485B9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обсяг надходження коштів загального фонду наростаючим підсумком з початку року </w:t>
            </w:r>
            <w:r w:rsidR="00485B9F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станом на </w:t>
            </w:r>
            <w:r w:rsidR="00485B9F">
              <w:rPr>
                <w:rFonts w:eastAsia="Times New Roman" w:cs="Times New Roman"/>
                <w:sz w:val="24"/>
                <w:szCs w:val="24"/>
                <w:lang w:eastAsia="uk-UA"/>
              </w:rPr>
              <w:t>відповідн</w:t>
            </w:r>
            <w:r w:rsidR="00485B9F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 звітну дату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попереднього року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766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надходження коштів спеціального фонду наростаючим підсумком з початку року станом на звітну дату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861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обсяг надходження коштів спеціального фонду наростаючим підсумком з початку року </w:t>
            </w:r>
            <w:r w:rsidR="00485B9F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станом на </w:t>
            </w:r>
            <w:r w:rsidR="00485B9F">
              <w:rPr>
                <w:rFonts w:eastAsia="Times New Roman" w:cs="Times New Roman"/>
                <w:sz w:val="24"/>
                <w:szCs w:val="24"/>
                <w:lang w:eastAsia="uk-UA"/>
              </w:rPr>
              <w:t>відповідн</w:t>
            </w:r>
            <w:r w:rsidR="00485B9F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у звітну дату попереднього року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54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C44917" w:rsidRPr="001F23AD" w:rsidRDefault="00C44917" w:rsidP="007D17B1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 w:rsidR="007D17B1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капітальних видатків зведеного бюджету області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касових видатків наростаючим підсумком з початку року станом на звітну дату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фінансів облдержадміністрації</w:t>
            </w:r>
          </w:p>
        </w:tc>
      </w:tr>
      <w:tr w:rsidR="00C44917" w:rsidRPr="001F23AD" w:rsidTr="00C526F6">
        <w:trPr>
          <w:trHeight w:val="547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обсяг касових видатків наростаючим підсумком з початку року </w:t>
            </w:r>
            <w:r w:rsidR="0094365E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станом на </w:t>
            </w:r>
            <w:r w:rsidR="0094365E">
              <w:rPr>
                <w:rFonts w:eastAsia="Times New Roman" w:cs="Times New Roman"/>
                <w:sz w:val="24"/>
                <w:szCs w:val="24"/>
                <w:lang w:eastAsia="uk-UA"/>
              </w:rPr>
              <w:t>відповідн</w:t>
            </w:r>
            <w:r w:rsidR="0094365E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у звітну дату попереднього року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557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C44917" w:rsidRPr="001F23AD" w:rsidRDefault="0094365E" w:rsidP="007D17B1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br w:type="page"/>
            </w:r>
            <w:r w:rsidR="00C44917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 w:rsidR="007D17B1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="00C44917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Рівень надходження плати за землю (земельного податку та орендної плати) до зведеного бюджету області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надходження плати за землю наростаючим підсумком з початку року на звітну дату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фінансів облдержадміністрації, Головне управління державної податкової служби</w:t>
            </w:r>
            <w:r w:rsidRPr="004D6138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 Івано-Франківській області</w:t>
            </w:r>
          </w:p>
        </w:tc>
      </w:tr>
      <w:tr w:rsidR="00C44917" w:rsidRPr="001F23AD" w:rsidTr="00C526F6">
        <w:trPr>
          <w:trHeight w:val="854"/>
        </w:trPr>
        <w:tc>
          <w:tcPr>
            <w:tcW w:w="518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обсяг надходження плати за землю наростаючим підсумком з початку року </w:t>
            </w:r>
            <w:r w:rsidR="0094365E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станом на </w:t>
            </w:r>
            <w:r w:rsidR="0094365E">
              <w:rPr>
                <w:rFonts w:eastAsia="Times New Roman" w:cs="Times New Roman"/>
                <w:sz w:val="24"/>
                <w:szCs w:val="24"/>
                <w:lang w:eastAsia="uk-UA"/>
              </w:rPr>
              <w:t>відповідн</w:t>
            </w:r>
            <w:r w:rsidR="0094365E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у звітну дату попереднього року</w:t>
            </w:r>
          </w:p>
        </w:tc>
        <w:tc>
          <w:tcPr>
            <w:tcW w:w="3534" w:type="dxa"/>
            <w:vMerge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44917" w:rsidRPr="001F23AD" w:rsidTr="00C526F6">
        <w:trPr>
          <w:trHeight w:val="1355"/>
        </w:trPr>
        <w:tc>
          <w:tcPr>
            <w:tcW w:w="518" w:type="dxa"/>
            <w:shd w:val="clear" w:color="auto" w:fill="auto"/>
            <w:noWrap/>
            <w:hideMark/>
          </w:tcPr>
          <w:p w:rsidR="00C44917" w:rsidRPr="001F23AD" w:rsidRDefault="00C44917" w:rsidP="007D17B1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 w:rsidR="007D17B1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Прострочена кредиторська заборгованість з виплати заробітної плати (з нарахуваннями) працівникам бюджетних установ, які утримуються за рахунок коштів місцевих бюджетів</w:t>
            </w:r>
          </w:p>
        </w:tc>
        <w:tc>
          <w:tcPr>
            <w:tcW w:w="6402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обсяг простроченої кредиторської заборгованості з виплати заробітної плати (з нарахуваннями) працівникам бюджетних установ, які утримуються за рахунок коштів місцевих бюджетів, станом на звітну дату</w:t>
            </w:r>
          </w:p>
        </w:tc>
        <w:tc>
          <w:tcPr>
            <w:tcW w:w="3534" w:type="dxa"/>
            <w:shd w:val="clear" w:color="auto" w:fill="auto"/>
            <w:hideMark/>
          </w:tcPr>
          <w:p w:rsidR="00C44917" w:rsidRPr="001F23AD" w:rsidRDefault="00C44917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фінансів облдержадміністрації</w:t>
            </w:r>
          </w:p>
        </w:tc>
      </w:tr>
      <w:tr w:rsidR="0094365E" w:rsidRPr="001F23AD" w:rsidTr="00C526F6">
        <w:trPr>
          <w:trHeight w:val="2009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94365E" w:rsidRPr="001F23AD" w:rsidRDefault="0094365E" w:rsidP="007D17B1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br w:type="page"/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34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shd w:val="clear" w:color="auto" w:fill="auto"/>
            <w:hideMark/>
          </w:tcPr>
          <w:p w:rsidR="0094365E" w:rsidRPr="001F23AD" w:rsidRDefault="0094365E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Вартість </w:t>
            </w:r>
            <w:proofErr w:type="spellStart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проведених облдержадміністрацією, її структурними підрозділами та підприємствами, установами, організаціями, які належать до сфери її управління, в електронній системі </w:t>
            </w:r>
            <w:proofErr w:type="spellStart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402" w:type="dxa"/>
            <w:shd w:val="clear" w:color="auto" w:fill="auto"/>
            <w:hideMark/>
          </w:tcPr>
          <w:p w:rsidR="0094365E" w:rsidRPr="001F23AD" w:rsidRDefault="0094365E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94365E" w:rsidRPr="001F23AD" w:rsidRDefault="0094365E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економічного розвитку, промисловості та інфраструктури облдержадміністрації</w:t>
            </w:r>
          </w:p>
        </w:tc>
      </w:tr>
      <w:tr w:rsidR="0094365E" w:rsidRPr="001F23AD" w:rsidTr="00C526F6">
        <w:trPr>
          <w:trHeight w:val="1413"/>
        </w:trPr>
        <w:tc>
          <w:tcPr>
            <w:tcW w:w="518" w:type="dxa"/>
            <w:vMerge/>
            <w:shd w:val="clear" w:color="auto" w:fill="auto"/>
            <w:noWrap/>
          </w:tcPr>
          <w:p w:rsidR="0094365E" w:rsidRPr="001F23AD" w:rsidRDefault="0094365E" w:rsidP="00C449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 w:val="restart"/>
            <w:shd w:val="clear" w:color="auto" w:fill="auto"/>
          </w:tcPr>
          <w:p w:rsidR="0094365E" w:rsidRPr="007D17B1" w:rsidRDefault="0094365E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D17B1">
              <w:rPr>
                <w:sz w:val="24"/>
                <w:szCs w:val="24"/>
              </w:rPr>
              <w:t xml:space="preserve">1) вартість конкурентних </w:t>
            </w:r>
            <w:proofErr w:type="spellStart"/>
            <w:r w:rsidRPr="007D17B1">
              <w:rPr>
                <w:sz w:val="24"/>
                <w:szCs w:val="24"/>
              </w:rPr>
              <w:t>закупівель</w:t>
            </w:r>
            <w:proofErr w:type="spellEnd"/>
            <w:r w:rsidRPr="007D17B1">
              <w:rPr>
                <w:sz w:val="24"/>
                <w:szCs w:val="24"/>
              </w:rPr>
              <w:t xml:space="preserve">, проведених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облдержадміністрацією, її структурними підрозділами та підприємствами, установами, організаціями, які належать до сфери її управління, в електронній системі </w:t>
            </w:r>
            <w:proofErr w:type="spellStart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6402" w:type="dxa"/>
            <w:shd w:val="clear" w:color="auto" w:fill="auto"/>
          </w:tcPr>
          <w:p w:rsidR="0094365E" w:rsidRPr="00256A83" w:rsidRDefault="0094365E" w:rsidP="00E27C0A">
            <w:pPr>
              <w:tabs>
                <w:tab w:val="left" w:pos="426"/>
              </w:tabs>
              <w:jc w:val="left"/>
              <w:rPr>
                <w:sz w:val="24"/>
                <w:szCs w:val="24"/>
                <w:lang w:eastAsia="uk-UA"/>
              </w:rPr>
            </w:pPr>
            <w:r w:rsidRPr="001B6FE8">
              <w:rPr>
                <w:sz w:val="24"/>
                <w:szCs w:val="24"/>
                <w:lang w:eastAsia="uk-UA"/>
              </w:rPr>
              <w:t xml:space="preserve">сума коштів за договорами, укладеними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облдержадміністрацією, її структурними підрозділами та підприємствами, установами, організаціями, які належать до сфери її управління, </w:t>
            </w:r>
            <w:r w:rsidRPr="001B6FE8">
              <w:rPr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1B6FE8">
              <w:rPr>
                <w:sz w:val="24"/>
                <w:szCs w:val="24"/>
                <w:lang w:eastAsia="uk-UA"/>
              </w:rPr>
              <w:t>закупівлями</w:t>
            </w:r>
            <w:proofErr w:type="spellEnd"/>
            <w:r w:rsidRPr="001B6FE8">
              <w:rPr>
                <w:sz w:val="24"/>
                <w:szCs w:val="24"/>
                <w:lang w:eastAsia="uk-UA"/>
              </w:rPr>
              <w:t xml:space="preserve"> наростаючим підсумком з початку року станом на останній день періоду</w:t>
            </w:r>
          </w:p>
        </w:tc>
        <w:tc>
          <w:tcPr>
            <w:tcW w:w="3534" w:type="dxa"/>
            <w:vMerge/>
            <w:shd w:val="clear" w:color="auto" w:fill="auto"/>
          </w:tcPr>
          <w:p w:rsidR="0094365E" w:rsidRPr="001F23AD" w:rsidRDefault="0094365E" w:rsidP="00C44917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94365E" w:rsidRPr="001F23AD" w:rsidTr="00C526F6">
        <w:trPr>
          <w:trHeight w:val="1678"/>
        </w:trPr>
        <w:tc>
          <w:tcPr>
            <w:tcW w:w="518" w:type="dxa"/>
            <w:vMerge/>
            <w:shd w:val="clear" w:color="auto" w:fill="auto"/>
            <w:noWrap/>
          </w:tcPr>
          <w:p w:rsidR="0094365E" w:rsidRPr="001F23AD" w:rsidRDefault="0094365E" w:rsidP="0011054A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shd w:val="clear" w:color="auto" w:fill="auto"/>
          </w:tcPr>
          <w:p w:rsidR="0094365E" w:rsidRPr="001F23AD" w:rsidRDefault="0094365E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94365E" w:rsidRPr="0011054A" w:rsidRDefault="0094365E" w:rsidP="0011054A">
            <w:pPr>
              <w:pStyle w:val="rvps14"/>
              <w:spacing w:before="0" w:beforeAutospacing="0" w:after="0" w:afterAutospacing="0"/>
            </w:pPr>
            <w:r w:rsidRPr="0011054A">
              <w:t xml:space="preserve">сума коштів за договорами, укладеними </w:t>
            </w:r>
            <w:r w:rsidRPr="001F23AD">
              <w:t xml:space="preserve">облдержадміністрацією, її структурними підрозділами та підприємствами, установами, організаціями, які належать до сфери її управління, </w:t>
            </w:r>
            <w:r w:rsidRPr="0011054A">
              <w:t xml:space="preserve">за конкурентними </w:t>
            </w:r>
            <w:proofErr w:type="spellStart"/>
            <w:r w:rsidRPr="0011054A">
              <w:t>закупівлями</w:t>
            </w:r>
            <w:proofErr w:type="spellEnd"/>
            <w:r>
              <w:t xml:space="preserve"> </w:t>
            </w:r>
            <w:r w:rsidRPr="0011054A">
              <w:t>наростаючим підсумком з початку року станом на останній день періоду</w:t>
            </w:r>
          </w:p>
        </w:tc>
        <w:tc>
          <w:tcPr>
            <w:tcW w:w="3534" w:type="dxa"/>
            <w:vMerge/>
            <w:shd w:val="clear" w:color="auto" w:fill="auto"/>
          </w:tcPr>
          <w:p w:rsidR="0094365E" w:rsidRPr="001F23AD" w:rsidRDefault="0094365E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94365E" w:rsidRPr="001F23AD" w:rsidTr="00C526F6">
        <w:trPr>
          <w:trHeight w:val="1408"/>
        </w:trPr>
        <w:tc>
          <w:tcPr>
            <w:tcW w:w="518" w:type="dxa"/>
            <w:vMerge/>
            <w:shd w:val="clear" w:color="auto" w:fill="auto"/>
            <w:noWrap/>
          </w:tcPr>
          <w:p w:rsidR="0094365E" w:rsidRPr="001F23AD" w:rsidRDefault="0094365E" w:rsidP="0011054A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 w:val="restart"/>
            <w:shd w:val="clear" w:color="auto" w:fill="auto"/>
          </w:tcPr>
          <w:p w:rsidR="0094365E" w:rsidRPr="001E26CE" w:rsidRDefault="0094365E" w:rsidP="0094365E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2) кількість конкурентн</w:t>
            </w:r>
            <w:r w:rsidRPr="001E26CE">
              <w:rPr>
                <w:sz w:val="24"/>
                <w:szCs w:val="24"/>
                <w:lang w:eastAsia="uk-UA"/>
              </w:rPr>
              <w:t xml:space="preserve">их </w:t>
            </w:r>
            <w:proofErr w:type="spellStart"/>
            <w:r w:rsidRPr="001E26CE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E26CE">
              <w:rPr>
                <w:sz w:val="24"/>
                <w:szCs w:val="24"/>
                <w:lang w:eastAsia="uk-UA"/>
              </w:rPr>
              <w:t xml:space="preserve">, що проведені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облдержадміністрацією, її структурними підрозділами та підприємствами, установами, організаціями, які належать до сфери її управління, </w:t>
            </w:r>
            <w:r w:rsidRPr="001E26CE">
              <w:rPr>
                <w:sz w:val="24"/>
                <w:szCs w:val="24"/>
                <w:lang w:eastAsia="uk-UA"/>
              </w:rPr>
              <w:t xml:space="preserve">в електронній системі </w:t>
            </w:r>
            <w:proofErr w:type="spellStart"/>
            <w:r w:rsidRPr="001E26CE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6402" w:type="dxa"/>
            <w:shd w:val="clear" w:color="auto" w:fill="auto"/>
          </w:tcPr>
          <w:p w:rsidR="0094365E" w:rsidRPr="001F23AD" w:rsidRDefault="0094365E" w:rsidP="0094365E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кількість завершених</w:t>
            </w:r>
            <w:r w:rsidRPr="001E26C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6CE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E26CE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>проведених</w:t>
            </w:r>
            <w:r w:rsidRPr="001E26CE">
              <w:rPr>
                <w:sz w:val="24"/>
                <w:szCs w:val="24"/>
                <w:lang w:eastAsia="uk-UA"/>
              </w:rPr>
              <w:t xml:space="preserve">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облдержадміністрацією, її структурними підрозділами та підприємствами, установами, організаціями, які належать до сфери її управління,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 звітний період станом на останній день періоду</w:t>
            </w:r>
          </w:p>
        </w:tc>
        <w:tc>
          <w:tcPr>
            <w:tcW w:w="3534" w:type="dxa"/>
            <w:vMerge/>
            <w:shd w:val="clear" w:color="auto" w:fill="auto"/>
          </w:tcPr>
          <w:p w:rsidR="0094365E" w:rsidRPr="001F23AD" w:rsidRDefault="0094365E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94365E" w:rsidRPr="001F23AD" w:rsidTr="00C526F6">
        <w:trPr>
          <w:trHeight w:val="557"/>
        </w:trPr>
        <w:tc>
          <w:tcPr>
            <w:tcW w:w="518" w:type="dxa"/>
            <w:vMerge/>
            <w:shd w:val="clear" w:color="auto" w:fill="auto"/>
            <w:noWrap/>
          </w:tcPr>
          <w:p w:rsidR="0094365E" w:rsidRPr="001F23AD" w:rsidRDefault="0094365E" w:rsidP="0011054A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shd w:val="clear" w:color="auto" w:fill="auto"/>
          </w:tcPr>
          <w:p w:rsidR="0094365E" w:rsidRPr="001F23AD" w:rsidRDefault="0094365E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</w:tcPr>
          <w:p w:rsidR="0094365E" w:rsidRPr="001F23AD" w:rsidRDefault="0094365E" w:rsidP="001E26CE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кількість завершених</w:t>
            </w:r>
            <w:r w:rsidRPr="001E26CE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конкурентних </w:t>
            </w:r>
            <w:proofErr w:type="spellStart"/>
            <w:r w:rsidRPr="001E26CE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E26CE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>проведених</w:t>
            </w:r>
            <w:r w:rsidRPr="001E26CE">
              <w:rPr>
                <w:sz w:val="24"/>
                <w:szCs w:val="24"/>
                <w:lang w:eastAsia="uk-UA"/>
              </w:rPr>
              <w:t xml:space="preserve">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облдержадміністрацією, її структурними підрозділами та підприємствами, установами, організаціями, які належать до сфери її управління,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 звітний період станом на останній день періоду</w:t>
            </w:r>
          </w:p>
        </w:tc>
        <w:tc>
          <w:tcPr>
            <w:tcW w:w="3534" w:type="dxa"/>
            <w:vMerge/>
            <w:shd w:val="clear" w:color="auto" w:fill="auto"/>
          </w:tcPr>
          <w:p w:rsidR="0094365E" w:rsidRPr="001F23AD" w:rsidRDefault="0094365E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1054A" w:rsidRPr="001F23AD" w:rsidTr="00C526F6">
        <w:trPr>
          <w:trHeight w:val="1678"/>
        </w:trPr>
        <w:tc>
          <w:tcPr>
            <w:tcW w:w="518" w:type="dxa"/>
            <w:shd w:val="clear" w:color="auto" w:fill="auto"/>
            <w:noWrap/>
            <w:hideMark/>
          </w:tcPr>
          <w:p w:rsidR="0011054A" w:rsidRPr="001F23AD" w:rsidRDefault="00FC2386" w:rsidP="0094365E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br w:type="page"/>
            </w:r>
            <w:r w:rsidR="0011054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 w:rsidR="0094365E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  <w:r w:rsidR="0011054A"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shd w:val="clear" w:color="auto" w:fill="auto"/>
            <w:hideMark/>
          </w:tcPr>
          <w:p w:rsidR="0011054A" w:rsidRPr="001F23AD" w:rsidRDefault="0094365E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Конкурентні закупівлі</w:t>
            </w:r>
            <w:r w:rsidR="0011054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, які проводяться облдержадміністрацією, її структурними підрозділами та підприємствами, установами, організаціями, які належать до сфери її управління:</w:t>
            </w:r>
          </w:p>
        </w:tc>
        <w:tc>
          <w:tcPr>
            <w:tcW w:w="6402" w:type="dxa"/>
            <w:shd w:val="clear" w:color="auto" w:fill="auto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34" w:type="dxa"/>
            <w:vMerge w:val="restart"/>
            <w:shd w:val="clear" w:color="auto" w:fill="auto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Департамент економічного розвитку, промисловості та інфраструктури облдержадміністрації</w:t>
            </w:r>
          </w:p>
        </w:tc>
      </w:tr>
      <w:tr w:rsidR="0011054A" w:rsidRPr="001F23AD" w:rsidTr="00C526F6">
        <w:trPr>
          <w:trHeight w:val="1412"/>
        </w:trPr>
        <w:tc>
          <w:tcPr>
            <w:tcW w:w="518" w:type="dxa"/>
            <w:shd w:val="clear" w:color="auto" w:fill="auto"/>
            <w:noWrap/>
            <w:hideMark/>
          </w:tcPr>
          <w:p w:rsidR="0011054A" w:rsidRPr="001F23AD" w:rsidRDefault="0011054A" w:rsidP="0011054A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55" w:type="dxa"/>
            <w:shd w:val="clear" w:color="auto" w:fill="auto"/>
            <w:hideMark/>
          </w:tcPr>
          <w:p w:rsidR="0011054A" w:rsidRPr="001F23AD" w:rsidRDefault="0094365E" w:rsidP="00B51930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1) конкурентні закупівлі</w:t>
            </w:r>
            <w:r w:rsidR="0011054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що відбулися </w:t>
            </w:r>
            <w:r w:rsidR="00B51930">
              <w:rPr>
                <w:rFonts w:eastAsia="Times New Roman" w:cs="Times New Roman"/>
                <w:sz w:val="24"/>
                <w:szCs w:val="24"/>
                <w:lang w:eastAsia="uk-UA"/>
              </w:rPr>
              <w:t>–</w:t>
            </w:r>
            <w:r w:rsidR="0011054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середня кількість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пропозицій, поданих учасниками</w:t>
            </w:r>
            <w:r w:rsidR="0011054A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6402" w:type="dxa"/>
            <w:shd w:val="clear" w:color="auto" w:fill="auto"/>
            <w:hideMark/>
          </w:tcPr>
          <w:p w:rsidR="0011054A" w:rsidRPr="001F23AD" w:rsidRDefault="0011054A" w:rsidP="0094365E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середня кількість </w:t>
            </w:r>
            <w:r w:rsidR="0094365E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пропозицій, поданих протягом періоду учасниками </w:t>
            </w:r>
            <w:proofErr w:type="spellStart"/>
            <w:r w:rsidR="0094365E">
              <w:rPr>
                <w:rFonts w:eastAsia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 w:rsidR="0094365E">
              <w:rPr>
                <w:rFonts w:eastAsia="Times New Roman" w:cs="Times New Roman"/>
                <w:sz w:val="24"/>
                <w:szCs w:val="24"/>
                <w:lang w:eastAsia="uk-UA"/>
              </w:rPr>
              <w:t>,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які проведені облдержадміністрацією, її структурними підрозділами та підприємствами, установами, організаціями, які належать до сфери її управління</w:t>
            </w:r>
          </w:p>
        </w:tc>
        <w:tc>
          <w:tcPr>
            <w:tcW w:w="3534" w:type="dxa"/>
            <w:vMerge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1054A" w:rsidRPr="001F23AD" w:rsidTr="00C526F6">
        <w:trPr>
          <w:trHeight w:val="1408"/>
        </w:trPr>
        <w:tc>
          <w:tcPr>
            <w:tcW w:w="518" w:type="dxa"/>
            <w:vMerge w:val="restart"/>
            <w:shd w:val="clear" w:color="auto" w:fill="auto"/>
            <w:noWrap/>
            <w:hideMark/>
          </w:tcPr>
          <w:p w:rsidR="0011054A" w:rsidRPr="001F23AD" w:rsidRDefault="0011054A" w:rsidP="0011054A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  <w:p w:rsidR="0011054A" w:rsidRPr="001F23AD" w:rsidRDefault="0011054A" w:rsidP="0011054A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55" w:type="dxa"/>
            <w:vMerge w:val="restart"/>
            <w:shd w:val="clear" w:color="auto" w:fill="auto"/>
            <w:hideMark/>
          </w:tcPr>
          <w:p w:rsidR="0011054A" w:rsidRPr="001F23AD" w:rsidRDefault="0011054A" w:rsidP="00FC2386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2)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неуспішні закупівлі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проведені </w:t>
            </w:r>
            <w:r w:rsidR="00FC238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облдержадміністрацією, її структурними підрозділами та підприємствами, установами, організаціями, які належать до сфери її управління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,</w:t>
            </w:r>
            <w:r w:rsidR="00FC238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 електронній системі </w:t>
            </w:r>
            <w:proofErr w:type="spellStart"/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6402" w:type="dxa"/>
            <w:shd w:val="clear" w:color="auto" w:fill="auto"/>
            <w:hideMark/>
          </w:tcPr>
          <w:p w:rsidR="0011054A" w:rsidRPr="001F23AD" w:rsidRDefault="0011054A" w:rsidP="00FC2386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завершених конкурентних </w:t>
            </w:r>
            <w:proofErr w:type="spellStart"/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проведених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облдержадміністрацією, її структурними підрозділами та підприємствами, установами, організаціями, які належать до сфери її управління,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 конкурентними </w:t>
            </w:r>
            <w:proofErr w:type="spellStart"/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закупівлями</w:t>
            </w:r>
            <w:proofErr w:type="spellEnd"/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за звітний період 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1054A" w:rsidRPr="001F23AD" w:rsidTr="00C526F6">
        <w:trPr>
          <w:trHeight w:val="1687"/>
        </w:trPr>
        <w:tc>
          <w:tcPr>
            <w:tcW w:w="518" w:type="dxa"/>
            <w:vMerge/>
            <w:shd w:val="clear" w:color="auto" w:fill="auto"/>
            <w:noWrap/>
            <w:hideMark/>
          </w:tcPr>
          <w:p w:rsidR="0011054A" w:rsidRPr="001F23AD" w:rsidRDefault="0011054A" w:rsidP="0011054A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shd w:val="clear" w:color="auto" w:fill="auto"/>
            <w:hideMark/>
          </w:tcPr>
          <w:p w:rsidR="0011054A" w:rsidRPr="001F23AD" w:rsidRDefault="0011054A" w:rsidP="00FC2386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неуспішних або скасованих лотів конкурентних </w:t>
            </w:r>
            <w:proofErr w:type="spellStart"/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 w:rsidR="00FC238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,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проведених</w:t>
            </w: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облдержадміністрацією, її структурними підрозділами та підприємствами, установами, організаціями, які належать до сфери її управління, </w:t>
            </w:r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 конкурентними </w:t>
            </w:r>
            <w:proofErr w:type="spellStart"/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>закупівлями</w:t>
            </w:r>
            <w:proofErr w:type="spellEnd"/>
            <w:r w:rsidR="00FC238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за звітний період </w:t>
            </w:r>
            <w:r w:rsidR="00FC2386"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станом на останній день періоду</w:t>
            </w:r>
          </w:p>
        </w:tc>
        <w:tc>
          <w:tcPr>
            <w:tcW w:w="3534" w:type="dxa"/>
            <w:vMerge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1054A" w:rsidRPr="001F23AD" w:rsidTr="00C526F6">
        <w:trPr>
          <w:trHeight w:val="58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4A" w:rsidRPr="001F23AD" w:rsidRDefault="0011054A" w:rsidP="00C51C4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C51C49"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  <w:r w:rsidRPr="001F23A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Виконання доручень Прем'єр-міністра України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загальна кількість доручень Прем'єр-міністра України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Управління з питань контролю та аналітично-організаційної роботи апарату облдержадміністрації</w:t>
            </w:r>
          </w:p>
        </w:tc>
      </w:tr>
      <w:tr w:rsidR="0011054A" w:rsidRPr="001F23AD" w:rsidTr="00C526F6">
        <w:trPr>
          <w:trHeight w:val="40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F23AD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невиконаних доручень Прем'єр-міністра України</w:t>
            </w: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A" w:rsidRPr="001F23AD" w:rsidRDefault="0011054A" w:rsidP="0011054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C6EE1" w:rsidRDefault="00FC6EE1"/>
    <w:p w:rsidR="009E38CD" w:rsidRDefault="009E38CD" w:rsidP="009E38CD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</w:t>
      </w:r>
      <w:r w:rsidRPr="005D7370">
        <w:rPr>
          <w:rFonts w:cs="Times New Roman"/>
          <w:b/>
          <w:szCs w:val="28"/>
        </w:rPr>
        <w:t>иректор департаменту</w:t>
      </w:r>
      <w:r>
        <w:rPr>
          <w:rFonts w:cs="Times New Roman"/>
          <w:b/>
          <w:szCs w:val="28"/>
        </w:rPr>
        <w:t xml:space="preserve"> </w:t>
      </w:r>
      <w:r w:rsidRPr="005D7370">
        <w:rPr>
          <w:rFonts w:cs="Times New Roman"/>
          <w:b/>
          <w:szCs w:val="28"/>
        </w:rPr>
        <w:t>економічного</w:t>
      </w:r>
      <w:r>
        <w:rPr>
          <w:rFonts w:cs="Times New Roman"/>
          <w:b/>
          <w:szCs w:val="28"/>
        </w:rPr>
        <w:t xml:space="preserve"> </w:t>
      </w:r>
      <w:r w:rsidRPr="005D7370">
        <w:rPr>
          <w:rFonts w:cs="Times New Roman"/>
          <w:b/>
          <w:szCs w:val="28"/>
        </w:rPr>
        <w:t>розвитку,</w:t>
      </w:r>
    </w:p>
    <w:p w:rsidR="009E38CD" w:rsidRPr="00C526F6" w:rsidRDefault="009E38CD">
      <w:pPr>
        <w:rPr>
          <w:rFonts w:cs="Times New Roman"/>
          <w:b/>
          <w:szCs w:val="28"/>
        </w:rPr>
      </w:pPr>
      <w:r w:rsidRPr="005D7370">
        <w:rPr>
          <w:rFonts w:cs="Times New Roman"/>
          <w:b/>
          <w:szCs w:val="28"/>
        </w:rPr>
        <w:t>промисловості та інфраструктури</w:t>
      </w:r>
      <w:r>
        <w:rPr>
          <w:rFonts w:cs="Times New Roman"/>
          <w:b/>
          <w:szCs w:val="28"/>
        </w:rPr>
        <w:t xml:space="preserve"> облдержадміністрації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>Сергій ПОДОШВА</w:t>
      </w:r>
    </w:p>
    <w:sectPr w:rsidR="009E38CD" w:rsidRPr="00C526F6" w:rsidSect="00676D0C">
      <w:headerReference w:type="default" r:id="rId8"/>
      <w:pgSz w:w="16838" w:h="11906" w:orient="landscape" w:code="9"/>
      <w:pgMar w:top="1985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2F" w:rsidRDefault="0054182F" w:rsidP="005809B8">
      <w:r>
        <w:separator/>
      </w:r>
    </w:p>
  </w:endnote>
  <w:endnote w:type="continuationSeparator" w:id="0">
    <w:p w:rsidR="0054182F" w:rsidRDefault="0054182F" w:rsidP="0058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2F" w:rsidRDefault="0054182F" w:rsidP="005809B8">
      <w:r>
        <w:separator/>
      </w:r>
    </w:p>
  </w:footnote>
  <w:footnote w:type="continuationSeparator" w:id="0">
    <w:p w:rsidR="0054182F" w:rsidRDefault="0054182F" w:rsidP="00580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0709"/>
      <w:docPartObj>
        <w:docPartGallery w:val="Page Numbers (Top of Page)"/>
        <w:docPartUnique/>
      </w:docPartObj>
    </w:sdtPr>
    <w:sdtEndPr/>
    <w:sdtContent>
      <w:p w:rsidR="005809B8" w:rsidRDefault="0054182F">
        <w:pPr>
          <w:pStyle w:val="a3"/>
          <w:jc w:val="center"/>
        </w:pPr>
      </w:p>
    </w:sdtContent>
  </w:sdt>
  <w:p w:rsidR="005809B8" w:rsidRDefault="00580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AC"/>
    <w:rsid w:val="0003336D"/>
    <w:rsid w:val="00066DEF"/>
    <w:rsid w:val="000C1A64"/>
    <w:rsid w:val="000C791F"/>
    <w:rsid w:val="000E7D9F"/>
    <w:rsid w:val="0011054A"/>
    <w:rsid w:val="001258E8"/>
    <w:rsid w:val="00132B70"/>
    <w:rsid w:val="00133C68"/>
    <w:rsid w:val="0017694C"/>
    <w:rsid w:val="0019654E"/>
    <w:rsid w:val="001A4AEE"/>
    <w:rsid w:val="001A719C"/>
    <w:rsid w:val="001B6FE8"/>
    <w:rsid w:val="001C5324"/>
    <w:rsid w:val="001E26CE"/>
    <w:rsid w:val="001F23AD"/>
    <w:rsid w:val="002158C9"/>
    <w:rsid w:val="0024357F"/>
    <w:rsid w:val="00256A83"/>
    <w:rsid w:val="00257F7A"/>
    <w:rsid w:val="002D49CA"/>
    <w:rsid w:val="002D4C41"/>
    <w:rsid w:val="00301B5F"/>
    <w:rsid w:val="00366509"/>
    <w:rsid w:val="00367B52"/>
    <w:rsid w:val="00375574"/>
    <w:rsid w:val="00377420"/>
    <w:rsid w:val="00390C56"/>
    <w:rsid w:val="003C2AA0"/>
    <w:rsid w:val="003D6D2C"/>
    <w:rsid w:val="003E4454"/>
    <w:rsid w:val="003E45CA"/>
    <w:rsid w:val="0042130A"/>
    <w:rsid w:val="00485B9F"/>
    <w:rsid w:val="004A1537"/>
    <w:rsid w:val="004D6138"/>
    <w:rsid w:val="004E2809"/>
    <w:rsid w:val="004F3C62"/>
    <w:rsid w:val="00510AAC"/>
    <w:rsid w:val="00514E54"/>
    <w:rsid w:val="00530E21"/>
    <w:rsid w:val="00532F53"/>
    <w:rsid w:val="00533096"/>
    <w:rsid w:val="0054182F"/>
    <w:rsid w:val="00565925"/>
    <w:rsid w:val="005729A5"/>
    <w:rsid w:val="005809B8"/>
    <w:rsid w:val="005C2819"/>
    <w:rsid w:val="005C4EFF"/>
    <w:rsid w:val="005C6DE2"/>
    <w:rsid w:val="005E0CD2"/>
    <w:rsid w:val="005F0F96"/>
    <w:rsid w:val="005F4250"/>
    <w:rsid w:val="00610861"/>
    <w:rsid w:val="00647230"/>
    <w:rsid w:val="0066628A"/>
    <w:rsid w:val="00676D0C"/>
    <w:rsid w:val="00694DF8"/>
    <w:rsid w:val="00724F0F"/>
    <w:rsid w:val="00726205"/>
    <w:rsid w:val="00750037"/>
    <w:rsid w:val="007609AB"/>
    <w:rsid w:val="00763FC3"/>
    <w:rsid w:val="007A101C"/>
    <w:rsid w:val="007D09BF"/>
    <w:rsid w:val="007D17B1"/>
    <w:rsid w:val="007F1F70"/>
    <w:rsid w:val="00837948"/>
    <w:rsid w:val="0084774C"/>
    <w:rsid w:val="0086398F"/>
    <w:rsid w:val="008729C3"/>
    <w:rsid w:val="00890096"/>
    <w:rsid w:val="008A6EF1"/>
    <w:rsid w:val="008B7BD1"/>
    <w:rsid w:val="008C45FB"/>
    <w:rsid w:val="008D4B40"/>
    <w:rsid w:val="009147A2"/>
    <w:rsid w:val="00936960"/>
    <w:rsid w:val="0094365E"/>
    <w:rsid w:val="009469EF"/>
    <w:rsid w:val="009A3F0F"/>
    <w:rsid w:val="009E268F"/>
    <w:rsid w:val="009E38CD"/>
    <w:rsid w:val="00A14269"/>
    <w:rsid w:val="00A602CA"/>
    <w:rsid w:val="00A609FE"/>
    <w:rsid w:val="00A92211"/>
    <w:rsid w:val="00B303D7"/>
    <w:rsid w:val="00B51930"/>
    <w:rsid w:val="00BC10D7"/>
    <w:rsid w:val="00C12B97"/>
    <w:rsid w:val="00C27A1F"/>
    <w:rsid w:val="00C40858"/>
    <w:rsid w:val="00C44917"/>
    <w:rsid w:val="00C51C49"/>
    <w:rsid w:val="00C526F6"/>
    <w:rsid w:val="00C54178"/>
    <w:rsid w:val="00C7676A"/>
    <w:rsid w:val="00C83378"/>
    <w:rsid w:val="00CC1EF3"/>
    <w:rsid w:val="00CF15B9"/>
    <w:rsid w:val="00CF7036"/>
    <w:rsid w:val="00D01FB7"/>
    <w:rsid w:val="00D31720"/>
    <w:rsid w:val="00D33343"/>
    <w:rsid w:val="00DB33BC"/>
    <w:rsid w:val="00DB67E9"/>
    <w:rsid w:val="00E25881"/>
    <w:rsid w:val="00E27C0A"/>
    <w:rsid w:val="00E52971"/>
    <w:rsid w:val="00E75F19"/>
    <w:rsid w:val="00E84FCE"/>
    <w:rsid w:val="00EA52BC"/>
    <w:rsid w:val="00EC773D"/>
    <w:rsid w:val="00F06DF6"/>
    <w:rsid w:val="00F076E0"/>
    <w:rsid w:val="00F176DE"/>
    <w:rsid w:val="00F26648"/>
    <w:rsid w:val="00F5585A"/>
    <w:rsid w:val="00F94B91"/>
    <w:rsid w:val="00FB3A23"/>
    <w:rsid w:val="00FC2386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C9"/>
    <w:pPr>
      <w:spacing w:after="0" w:line="240" w:lineRule="auto"/>
      <w:jc w:val="both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B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9B8"/>
    <w:rPr>
      <w:rFonts w:ascii="Times New Roman" w:hAnsi="Times New Roman" w:cstheme="minorHAnsi"/>
      <w:sz w:val="28"/>
    </w:rPr>
  </w:style>
  <w:style w:type="paragraph" w:styleId="a5">
    <w:name w:val="footer"/>
    <w:basedOn w:val="a"/>
    <w:link w:val="a6"/>
    <w:uiPriority w:val="99"/>
    <w:unhideWhenUsed/>
    <w:rsid w:val="005809B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9B8"/>
    <w:rPr>
      <w:rFonts w:ascii="Times New Roman" w:hAnsi="Times New Roman" w:cstheme="minorHAns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76D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D0C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5E0CD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C9"/>
    <w:pPr>
      <w:spacing w:after="0" w:line="240" w:lineRule="auto"/>
      <w:jc w:val="both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B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9B8"/>
    <w:rPr>
      <w:rFonts w:ascii="Times New Roman" w:hAnsi="Times New Roman" w:cstheme="minorHAnsi"/>
      <w:sz w:val="28"/>
    </w:rPr>
  </w:style>
  <w:style w:type="paragraph" w:styleId="a5">
    <w:name w:val="footer"/>
    <w:basedOn w:val="a"/>
    <w:link w:val="a6"/>
    <w:uiPriority w:val="99"/>
    <w:unhideWhenUsed/>
    <w:rsid w:val="005809B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9B8"/>
    <w:rPr>
      <w:rFonts w:ascii="Times New Roman" w:hAnsi="Times New Roman" w:cstheme="minorHAns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76D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D0C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5E0CD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FD5C-FF77-4A3B-8156-EFAFBA65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15079</Words>
  <Characters>8596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Administrator</cp:lastModifiedBy>
  <cp:revision>3</cp:revision>
  <cp:lastPrinted>2021-09-28T14:23:00Z</cp:lastPrinted>
  <dcterms:created xsi:type="dcterms:W3CDTF">2021-10-05T14:30:00Z</dcterms:created>
  <dcterms:modified xsi:type="dcterms:W3CDTF">2021-10-05T14:35:00Z</dcterms:modified>
</cp:coreProperties>
</file>