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31" w:rsidRDefault="00A83731" w:rsidP="00A83731">
      <w:pPr>
        <w:pStyle w:val="1"/>
        <w:ind w:right="-858" w:firstLine="3544"/>
        <w:rPr>
          <w:rFonts w:ascii="Times New Roman" w:hAnsi="Times New Roman" w:cs="Times New Roman"/>
          <w:color w:val="000000" w:themeColor="text1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Cs w:val="24"/>
          <w:lang w:val="uk-UA"/>
        </w:rPr>
        <w:t>ПАМ</w:t>
      </w:r>
      <w:r>
        <w:rPr>
          <w:rFonts w:ascii="Times New Roman" w:hAnsi="Times New Roman" w:cs="Times New Roman"/>
          <w:color w:val="000000" w:themeColor="text1"/>
          <w:szCs w:val="24"/>
        </w:rPr>
        <w:t>’</w:t>
      </w:r>
      <w:r>
        <w:rPr>
          <w:rFonts w:ascii="Times New Roman" w:hAnsi="Times New Roman" w:cs="Times New Roman"/>
          <w:color w:val="000000" w:themeColor="text1"/>
          <w:szCs w:val="24"/>
          <w:lang w:val="uk-UA"/>
        </w:rPr>
        <w:t>ЯТКА</w:t>
      </w:r>
    </w:p>
    <w:p w:rsidR="00A83731" w:rsidRPr="00A83731" w:rsidRDefault="00A83731" w:rsidP="00A83731">
      <w:pPr>
        <w:spacing w:after="0" w:line="240" w:lineRule="auto"/>
        <w:ind w:left="-964" w:right="-524" w:firstLine="425"/>
        <w:jc w:val="center"/>
        <w:rPr>
          <w:rFonts w:ascii="Times New Roman" w:hAnsi="Times New Roman"/>
          <w:b/>
          <w:sz w:val="24"/>
          <w:szCs w:val="24"/>
        </w:rPr>
      </w:pPr>
      <w:r w:rsidRPr="00A837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щодо </w:t>
      </w:r>
      <w:r w:rsidRPr="00A837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врегулювання конфлікту інтересів </w:t>
      </w:r>
    </w:p>
    <w:p w:rsidR="00A83731" w:rsidRDefault="00A83731" w:rsidP="00A8373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A83731" w:rsidRDefault="00A83731" w:rsidP="00A837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КОНФЛІКТ ІНТЕРЕСІВ</w:t>
      </w:r>
    </w:p>
    <w:p w:rsidR="00A83731" w:rsidRDefault="00A83731" w:rsidP="00A83731">
      <w:pPr>
        <w:spacing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Приватний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інтерес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будь-який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майновий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немайновий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інтерес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зумовлений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особистими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сімейними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дружніми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позаслужбовими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стосунками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фізичними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членством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діяльністю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грамадських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релігійних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стаття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 ЗУ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запобігання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корупції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»)</w:t>
      </w:r>
      <w:bookmarkStart w:id="0" w:name="_GoBack"/>
      <w:bookmarkEnd w:id="0"/>
    </w:p>
    <w:p w:rsidR="00A83731" w:rsidRDefault="00A83731" w:rsidP="00A83731">
      <w:pPr>
        <w:spacing w:line="240" w:lineRule="auto"/>
        <w:ind w:left="142" w:firstLine="566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285"/>
        <w:gridCol w:w="5213"/>
      </w:tblGrid>
      <w:tr w:rsidR="00A83731" w:rsidTr="00A83731">
        <w:trPr>
          <w:trHeight w:val="1936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1" w:rsidRDefault="00A83731" w:rsidP="00A83731">
            <w:pPr>
              <w:spacing w:after="0" w:line="240" w:lineRule="auto"/>
              <w:ind w:left="142" w:firstLine="566"/>
              <w:jc w:val="center"/>
              <w:rPr>
                <w:rFonts w:ascii="Times New Roman" w:hAnsi="Times New Roman" w:cs="Times New Roman"/>
                <w:b/>
              </w:rPr>
            </w:pPr>
          </w:p>
          <w:p w:rsidR="00A83731" w:rsidRDefault="00A83731" w:rsidP="00A83731">
            <w:pPr>
              <w:spacing w:after="0" w:line="240" w:lineRule="auto"/>
              <w:ind w:left="142" w:firstLine="56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РЕАЛЬНИЙ</w:t>
            </w:r>
          </w:p>
          <w:p w:rsidR="00A83731" w:rsidRDefault="00A83731" w:rsidP="00A83731">
            <w:pPr>
              <w:spacing w:after="0" w:line="240" w:lineRule="auto"/>
              <w:ind w:left="142" w:firstLine="566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СУПЕРЕЧНІСТЬ ВІДБУВАЄТЬСЯ У ДІЙСНОСТІ</w:t>
            </w:r>
          </w:p>
          <w:p w:rsidR="00A83731" w:rsidRDefault="00A83731" w:rsidP="00A83731">
            <w:pPr>
              <w:spacing w:after="0" w:line="240" w:lineRule="auto"/>
              <w:ind w:left="142" w:firstLine="566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83731" w:rsidRDefault="00A83731" w:rsidP="00A83731">
            <w:pPr>
              <w:spacing w:after="0" w:line="240" w:lineRule="auto"/>
              <w:ind w:left="142" w:firstLine="56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суперечність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між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приватним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інтересом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її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службовими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представницькими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повноваженнями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впливає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об’єктивність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неупередженість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прийняття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рішень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вчинення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вчинення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дій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зазначених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1" w:rsidRDefault="00A83731" w:rsidP="00A83731">
            <w:pPr>
              <w:spacing w:after="0" w:line="240" w:lineRule="auto"/>
              <w:ind w:left="142" w:firstLine="566"/>
              <w:jc w:val="center"/>
              <w:rPr>
                <w:rFonts w:ascii="Times New Roman" w:hAnsi="Times New Roman" w:cs="Times New Roman"/>
                <w:b/>
              </w:rPr>
            </w:pPr>
          </w:p>
          <w:p w:rsidR="00A83731" w:rsidRDefault="00A83731" w:rsidP="00A83731">
            <w:pPr>
              <w:spacing w:after="0" w:line="240" w:lineRule="auto"/>
              <w:ind w:left="142" w:firstLine="56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ПОТЕНЦІЙНИЙ</w:t>
            </w:r>
          </w:p>
          <w:p w:rsidR="00A83731" w:rsidRDefault="00A83731" w:rsidP="00A83731">
            <w:pPr>
              <w:spacing w:after="0" w:line="240" w:lineRule="auto"/>
              <w:ind w:left="142" w:firstLine="566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МОЖЛИВІСТЬ ВИНИКНЕННЯ СУПЕРЕЧНОСТЕЙ</w:t>
            </w:r>
          </w:p>
          <w:p w:rsidR="00A83731" w:rsidRDefault="00A83731" w:rsidP="00A83731">
            <w:pPr>
              <w:spacing w:after="0" w:line="240" w:lineRule="auto"/>
              <w:ind w:left="142" w:firstLine="566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83731" w:rsidRDefault="00A83731" w:rsidP="00A83731">
            <w:pPr>
              <w:spacing w:after="0" w:line="240" w:lineRule="auto"/>
              <w:ind w:left="142" w:firstLine="56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наявність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приватного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інтересу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виконує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свої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службові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представницькі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повноваження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вплинути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об’єктивність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неупередженість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прийняття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рішень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вчинення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вчинення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дій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зазначених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83731" w:rsidTr="00A83731">
        <w:trPr>
          <w:trHeight w:val="343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31" w:rsidRDefault="00A83731" w:rsidP="00A83731">
            <w:pPr>
              <w:spacing w:after="0" w:line="240" w:lineRule="auto"/>
              <w:ind w:left="142" w:firstLine="56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ОБОВ’ЯЗКИ ОСОБИ</w:t>
            </w:r>
          </w:p>
          <w:p w:rsidR="00A83731" w:rsidRDefault="00A83731" w:rsidP="00A83731">
            <w:pPr>
              <w:spacing w:after="0" w:line="240" w:lineRule="auto"/>
              <w:ind w:left="142" w:firstLine="5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вживає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недопущення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виникнення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потенційного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конфлікту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A83731" w:rsidRDefault="00A83731" w:rsidP="00A83731">
            <w:pPr>
              <w:spacing w:after="0" w:line="240" w:lineRule="auto"/>
              <w:ind w:left="142" w:firstLine="5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повідомляти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пізніше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наступного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робочого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моменту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коли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дізнався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повинен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дізнатися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себе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потенційного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конфлікту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безпосереднього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керівника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A83731" w:rsidRDefault="00A83731" w:rsidP="00A83731">
            <w:pPr>
              <w:spacing w:after="0" w:line="240" w:lineRule="auto"/>
              <w:ind w:left="142" w:firstLine="5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вчиняти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дій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приймати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рішень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конфлікту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A83731" w:rsidRDefault="00A83731" w:rsidP="00A83731">
            <w:pPr>
              <w:spacing w:after="0" w:line="240" w:lineRule="auto"/>
              <w:ind w:left="142" w:firstLine="56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вжити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врегулювання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потенційного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конфлікту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31" w:rsidRDefault="00A83731" w:rsidP="00A83731">
            <w:pPr>
              <w:spacing w:after="0" w:line="240" w:lineRule="auto"/>
              <w:ind w:left="142" w:firstLine="56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ОБОВ’ЯЗКИ КЕРІВНИКА</w:t>
            </w:r>
          </w:p>
          <w:p w:rsidR="00A83731" w:rsidRDefault="00A83731" w:rsidP="00A83731">
            <w:pPr>
              <w:spacing w:after="0" w:line="240" w:lineRule="auto"/>
              <w:ind w:left="142" w:firstLine="5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робочих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після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повідомлення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підлеглої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потенційного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конфлікту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приймає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врегулювання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конфлікту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повідомляє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особу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A83731" w:rsidRDefault="00A83731" w:rsidP="00A83731">
            <w:pPr>
              <w:spacing w:after="0" w:line="240" w:lineRule="auto"/>
              <w:ind w:left="142" w:firstLine="56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коли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стало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відомо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конфлікт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підлеглої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вживає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запобігання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врегулювання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конфлікту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83731" w:rsidTr="00A83731">
        <w:trPr>
          <w:trHeight w:val="130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1" w:rsidRDefault="00A83731" w:rsidP="00A83731">
            <w:pPr>
              <w:spacing w:after="0" w:line="240" w:lineRule="auto"/>
              <w:ind w:left="142" w:firstLine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731" w:rsidRDefault="00A83731" w:rsidP="00A83731">
            <w:pPr>
              <w:spacing w:after="0" w:line="240" w:lineRule="auto"/>
              <w:ind w:left="142" w:firstLine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731" w:rsidRDefault="00A83731" w:rsidP="00A83731">
            <w:pPr>
              <w:spacing w:after="0" w:line="240" w:lineRule="auto"/>
              <w:ind w:left="142" w:firstLine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ЗАХОДИ ВРЕГУЛЮВАННЯ КОНФЛІКТУ ІНТЕРЕСІВ</w:t>
            </w:r>
          </w:p>
        </w:tc>
      </w:tr>
      <w:tr w:rsidR="00A83731" w:rsidTr="00A83731">
        <w:trPr>
          <w:trHeight w:val="940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1" w:rsidRDefault="00A83731" w:rsidP="00A83731">
            <w:pPr>
              <w:spacing w:after="0" w:line="240" w:lineRule="auto"/>
              <w:ind w:left="142" w:right="-126" w:firstLine="566"/>
              <w:rPr>
                <w:rFonts w:ascii="Times New Roman" w:hAnsi="Times New Roman" w:cs="Times New Roman"/>
                <w:b/>
              </w:rPr>
            </w:pPr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усунення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вчинення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дій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прийняття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прийнятті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реального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потенційного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конфлікту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конфлікт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постійного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характеру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є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можливість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доручити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роботу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іншому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працівнику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);</w:t>
            </w:r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застосування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зовнішнього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контролю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виконанням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особою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відповідного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вчиненням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нею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певних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дій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прийняття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рішень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можливо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усунути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особу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відсутні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підстави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її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переведення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іншу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посаду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звільнення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);</w:t>
            </w:r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обмеження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доступу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певної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конфлікт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постійних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є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можливість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доручення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інформацією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іншому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працівнику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);</w:t>
            </w:r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перегляд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обсягу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службових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конфлікт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постійних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є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можливість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продовження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належного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особою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службових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перегляду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службових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можливість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наділення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відповідними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повноваженнями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іншого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переведення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іншу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посаду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конфлікт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постійний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врегульований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вищепереліченими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шляхами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відповідної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вакантної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посади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звільнення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конфлікт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постійний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врегульований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інший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відсутність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згоди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переведення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позбавлення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приватного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інтересу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hAnsi="Times New Roman" w:cs="Times New Roman"/>
                <w:b/>
                <w:sz w:val="24"/>
              </w:rPr>
            </w:pPr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вжити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шляхом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позбавлення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відповідного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приватного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інтересу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наданням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підтверджуючих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безпосередньому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керівнику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керівнику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органу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належить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звільнення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ініціювання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звільнення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посади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;</w:t>
            </w:r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hAnsi="Times New Roman" w:cs="Times New Roman"/>
                <w:sz w:val="24"/>
              </w:rPr>
            </w:pPr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існування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сумнівів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неї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конфлікту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потрібно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звернутись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роз’ясненнями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територіального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органу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НАЗК.</w:t>
            </w:r>
          </w:p>
        </w:tc>
      </w:tr>
      <w:tr w:rsidR="00A83731" w:rsidTr="00A83731">
        <w:trPr>
          <w:trHeight w:val="28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1" w:rsidRDefault="00A83731" w:rsidP="00A83731">
            <w:pPr>
              <w:spacing w:after="0" w:line="240" w:lineRule="auto"/>
              <w:ind w:left="142" w:right="-126" w:firstLine="56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uk-UA"/>
              </w:rPr>
            </w:pPr>
          </w:p>
          <w:p w:rsidR="00A83731" w:rsidRDefault="00A83731" w:rsidP="00A83731">
            <w:pPr>
              <w:spacing w:after="0" w:line="240" w:lineRule="auto"/>
              <w:ind w:left="142" w:right="-126" w:firstLine="5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uk-UA"/>
              </w:rPr>
              <w:t>ВІДПОВІДАЛЬНІСТЬ ЗА ПОРУШЕННЯ ВИМОГ ЩОДО ЗАПОБІГАННЯ ТА ВРЕГУЛЮВАННЯ КОНФЛІКТУ ІНТЕРЕСІВ</w:t>
            </w:r>
          </w:p>
        </w:tc>
      </w:tr>
      <w:tr w:rsidR="00A83731" w:rsidTr="00A83731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1" w:rsidRDefault="00A83731" w:rsidP="00A83731">
            <w:pPr>
              <w:spacing w:after="0" w:line="240" w:lineRule="auto"/>
              <w:ind w:left="142" w:right="-126" w:firstLine="566"/>
              <w:jc w:val="center"/>
              <w:rPr>
                <w:rFonts w:ascii="Times New Roman" w:hAnsi="Times New Roman" w:cs="Times New Roman"/>
                <w:b/>
              </w:rPr>
            </w:pPr>
          </w:p>
          <w:p w:rsidR="00A83731" w:rsidRDefault="00A83731" w:rsidP="00A83731">
            <w:pPr>
              <w:spacing w:after="0" w:line="240" w:lineRule="auto"/>
              <w:ind w:left="142" w:right="-126" w:firstLine="56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Кримінальна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відповідальність</w:t>
            </w:r>
            <w:proofErr w:type="spellEnd"/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окремих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випадках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вчинення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прийняття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рішень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конфлікту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містити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ознаки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одного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корупційних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кримінальних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наведено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примітці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45 КК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83731" w:rsidRDefault="00A83731" w:rsidP="00A83731">
            <w:pPr>
              <w:spacing w:after="0" w:line="240" w:lineRule="auto"/>
              <w:ind w:left="142" w:right="-126" w:firstLine="56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83731" w:rsidRDefault="00A83731" w:rsidP="00A83731">
            <w:pPr>
              <w:spacing w:after="0" w:line="240" w:lineRule="auto"/>
              <w:ind w:left="142" w:right="-126" w:firstLine="56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Адміністративна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відповідальність</w:t>
            </w:r>
            <w:proofErr w:type="spellEnd"/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неповідомлення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особою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встановлених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випадках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порядку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неї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реального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конфлікту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інтересів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,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штраф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н.м.д.г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 xml:space="preserve">(ч. 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 xml:space="preserve">. 172 -7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КУпАП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;</w:t>
            </w:r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вчинення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дій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рішень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реального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конфлікту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інтересів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,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штраф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400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н.м.д.г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 xml:space="preserve">(ч. 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. 172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vertAlign w:val="superscript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 xml:space="preserve">– 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КУпАП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;</w:t>
            </w:r>
          </w:p>
          <w:p w:rsidR="00A83731" w:rsidRDefault="00A83731" w:rsidP="00A83731">
            <w:pPr>
              <w:spacing w:before="120" w:after="120" w:line="240" w:lineRule="auto"/>
              <w:ind w:left="142" w:right="-125" w:firstLine="566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будь-яка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вищевказаних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дій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вчинена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особою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яку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року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було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піддано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адміністративному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стягненню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такі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порушення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,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штраф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400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800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н.м.д.г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 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позбавленням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права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обіймати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певні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посади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займатися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певною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діяльністю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строком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один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 xml:space="preserve">(ч. 3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. 172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vertAlign w:val="superscript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- 7КУпАП)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.</w:t>
            </w:r>
          </w:p>
          <w:p w:rsidR="00A83731" w:rsidRDefault="00A83731" w:rsidP="00A83731">
            <w:pPr>
              <w:spacing w:after="0" w:line="240" w:lineRule="auto"/>
              <w:ind w:left="142" w:right="-126" w:firstLine="56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83731" w:rsidRDefault="00A83731" w:rsidP="00A83731">
            <w:pPr>
              <w:spacing w:after="0" w:line="240" w:lineRule="auto"/>
              <w:ind w:left="142" w:right="-126" w:firstLine="56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Дисциплінарна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відповідальність</w:t>
            </w:r>
            <w:proofErr w:type="spellEnd"/>
          </w:p>
          <w:p w:rsidR="00A83731" w:rsidRDefault="00A83731" w:rsidP="00A83731">
            <w:pPr>
              <w:spacing w:after="0" w:line="240" w:lineRule="auto"/>
              <w:ind w:left="142" w:right="-126" w:firstLine="566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неповідомлення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особою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безпосереднього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керівника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неї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потенційного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конфлікту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інтересів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;</w:t>
            </w:r>
          </w:p>
          <w:p w:rsidR="00A83731" w:rsidRDefault="00A83731" w:rsidP="00A83731">
            <w:pPr>
              <w:spacing w:after="0" w:line="240" w:lineRule="auto"/>
              <w:ind w:left="142" w:right="-126" w:firstLine="566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  <w:p w:rsidR="00A83731" w:rsidRDefault="00A83731" w:rsidP="00A83731">
            <w:pPr>
              <w:spacing w:after="0" w:line="240" w:lineRule="auto"/>
              <w:ind w:left="142" w:right="-126" w:firstLine="566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невжиття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керівником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врегулювання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конфлікту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інтересів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підлеглого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;</w:t>
            </w:r>
          </w:p>
        </w:tc>
      </w:tr>
    </w:tbl>
    <w:p w:rsidR="00A83731" w:rsidRDefault="00A83731" w:rsidP="00A8373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A83731" w:rsidRDefault="00A83731" w:rsidP="00A8373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A83731" w:rsidRDefault="00A83731" w:rsidP="00A83731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памʼяткою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(а):</w:t>
      </w:r>
    </w:p>
    <w:p w:rsidR="00A83731" w:rsidRDefault="00A83731" w:rsidP="00A8373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3731" w:rsidRDefault="00A83731" w:rsidP="00A8373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Посада</w:t>
      </w:r>
    </w:p>
    <w:p w:rsidR="00A83731" w:rsidRDefault="00A83731" w:rsidP="00A83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31" w:rsidRDefault="00A83731" w:rsidP="00A83731">
      <w:pPr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                             _____________                                       _______________</w:t>
      </w:r>
    </w:p>
    <w:p w:rsidR="00A83731" w:rsidRDefault="00A83731" w:rsidP="00A83731">
      <w:pPr>
        <w:ind w:left="-142"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                                                  підпис                                                      ПІБ</w:t>
      </w:r>
    </w:p>
    <w:p w:rsidR="0077001A" w:rsidRPr="0030065F" w:rsidRDefault="0077001A" w:rsidP="008240A0">
      <w:pPr>
        <w:ind w:firstLine="709"/>
        <w:jc w:val="both"/>
        <w:rPr>
          <w:sz w:val="28"/>
          <w:szCs w:val="28"/>
        </w:rPr>
      </w:pPr>
    </w:p>
    <w:sectPr w:rsidR="0077001A" w:rsidRPr="0030065F" w:rsidSect="00A83731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1"/>
    <w:rsid w:val="0030065F"/>
    <w:rsid w:val="00666C03"/>
    <w:rsid w:val="0077001A"/>
    <w:rsid w:val="008240A0"/>
    <w:rsid w:val="00A8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30FFF"/>
  <w15:chartTrackingRefBased/>
  <w15:docId w15:val="{B8B472EA-4749-4F80-8E05-2A03D961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3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3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7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table" w:styleId="a3">
    <w:name w:val="Table Grid"/>
    <w:basedOn w:val="a1"/>
    <w:uiPriority w:val="59"/>
    <w:rsid w:val="00A8373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3390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2026-04-17T08:26:00Z</dcterms:created>
  <dcterms:modified xsi:type="dcterms:W3CDTF">2026-04-17T08:28:00Z</dcterms:modified>
</cp:coreProperties>
</file>