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hapkaDocumentu"/>
        <w:tabs>
          <w:tab w:val="clear" w:pos="708"/>
          <w:tab w:val="left" w:pos="10320" w:leader="none"/>
        </w:tabs>
        <w:spacing w:before="0" w:after="0"/>
        <w:ind w:start="0" w:hanging="0"/>
        <w:jc w:val="start"/>
        <w:rPr>
          <w:rFonts w:ascii="Times New Roman" w:hAnsi="Times New Roman" w:cs="Times New Roman"/>
          <w:b/>
          <w:b/>
          <w:sz w:val="24"/>
          <w:szCs w:val="24"/>
        </w:rPr>
      </w:pPr>
      <w:r>
        <w:rPr>
          <w:rFonts w:cs="Times New Roman" w:ascii="Times New Roman" w:hAnsi="Times New Roman"/>
          <w:b/>
          <w:sz w:val="24"/>
          <w:szCs w:val="24"/>
        </w:rPr>
        <w:t>ПРОЕКТ</w:t>
        <w:tab/>
        <w:t xml:space="preserve">ЗАТВЕРДЖЕНО </w:t>
      </w:r>
    </w:p>
    <w:p>
      <w:pPr>
        <w:pStyle w:val="ShapkaDocumentu"/>
        <w:tabs>
          <w:tab w:val="clear" w:pos="708"/>
          <w:tab w:val="left" w:pos="10320" w:leader="none"/>
        </w:tabs>
        <w:spacing w:before="0" w:after="0"/>
        <w:ind w:start="0" w:hanging="0"/>
        <w:jc w:val="start"/>
        <w:rPr/>
      </w:pPr>
      <w:r>
        <w:rPr>
          <w:rFonts w:cs="Times New Roman" w:ascii="Times New Roman" w:hAnsi="Times New Roman"/>
          <w:b/>
          <w:sz w:val="24"/>
          <w:szCs w:val="24"/>
        </w:rPr>
        <w:tab/>
        <w:t>розпорядження</w:t>
      </w:r>
    </w:p>
    <w:p>
      <w:pPr>
        <w:pStyle w:val="ShapkaDocumentu"/>
        <w:spacing w:before="0" w:after="0"/>
        <w:ind w:start="9923" w:firstLine="403"/>
        <w:jc w:val="start"/>
        <w:rPr>
          <w:rFonts w:ascii="Times New Roman" w:hAnsi="Times New Roman" w:cs="Times New Roman"/>
          <w:b/>
          <w:b/>
          <w:sz w:val="24"/>
          <w:szCs w:val="24"/>
        </w:rPr>
      </w:pPr>
      <w:r>
        <w:rPr>
          <w:rFonts w:cs="Times New Roman" w:ascii="Times New Roman" w:hAnsi="Times New Roman"/>
          <w:b/>
          <w:sz w:val="24"/>
          <w:szCs w:val="24"/>
        </w:rPr>
        <w:t>Івано-Франківської</w:t>
      </w:r>
    </w:p>
    <w:p>
      <w:pPr>
        <w:pStyle w:val="ShapkaDocumentu"/>
        <w:spacing w:before="0" w:after="0"/>
        <w:ind w:start="9923" w:firstLine="403"/>
        <w:jc w:val="start"/>
        <w:rPr>
          <w:rFonts w:ascii="Times New Roman" w:hAnsi="Times New Roman" w:cs="Times New Roman"/>
          <w:b/>
          <w:b/>
          <w:sz w:val="24"/>
          <w:szCs w:val="24"/>
        </w:rPr>
      </w:pPr>
      <w:r>
        <w:rPr>
          <w:rFonts w:cs="Times New Roman" w:ascii="Times New Roman" w:hAnsi="Times New Roman"/>
          <w:b/>
          <w:sz w:val="24"/>
          <w:szCs w:val="24"/>
        </w:rPr>
        <w:t xml:space="preserve">облдержадміністрації </w:t>
      </w:r>
    </w:p>
    <w:p>
      <w:pPr>
        <w:pStyle w:val="ShapkaDocumentu"/>
        <w:spacing w:before="0" w:after="0"/>
        <w:ind w:start="9923" w:firstLine="403"/>
        <w:jc w:val="start"/>
        <w:rPr>
          <w:rFonts w:ascii="Times New Roman" w:hAnsi="Times New Roman" w:cs="Times New Roman"/>
          <w:b/>
          <w:b/>
          <w:sz w:val="24"/>
          <w:szCs w:val="24"/>
        </w:rPr>
      </w:pPr>
      <w:r>
        <w:rPr>
          <w:rFonts w:cs="Times New Roman" w:ascii="Times New Roman" w:hAnsi="Times New Roman"/>
          <w:b/>
          <w:sz w:val="24"/>
          <w:szCs w:val="24"/>
        </w:rPr>
        <w:t>від ____________ № ______________</w:t>
      </w:r>
    </w:p>
    <w:p>
      <w:pPr>
        <w:pStyle w:val="Normal"/>
        <w:jc w:val="center"/>
        <w:rPr>
          <w:rFonts w:eastAsia="Times New Roman"/>
          <w:lang w:eastAsia="uk-UA"/>
        </w:rPr>
      </w:pPr>
      <w:r>
        <w:rPr>
          <w:rFonts w:eastAsia="Times New Roman"/>
          <w:b/>
          <w:bCs/>
          <w:color w:val="000000"/>
          <w:sz w:val="28"/>
          <w:szCs w:val="28"/>
          <w:lang w:eastAsia="uk-UA"/>
        </w:rPr>
        <w:t>ОБЛАСНИЙ ПЛАН ЗАХОДІВ</w:t>
      </w:r>
    </w:p>
    <w:p>
      <w:pPr>
        <w:pStyle w:val="Normal"/>
        <w:jc w:val="center"/>
        <w:rPr>
          <w:rFonts w:eastAsia="Times New Roman"/>
          <w:lang w:eastAsia="uk-UA"/>
        </w:rPr>
      </w:pPr>
      <w:r>
        <w:rPr>
          <w:rFonts w:eastAsia="Times New Roman"/>
          <w:b/>
          <w:bCs/>
          <w:color w:val="000000"/>
          <w:sz w:val="28"/>
          <w:szCs w:val="28"/>
          <w:lang w:eastAsia="uk-UA"/>
        </w:rPr>
        <w:t> </w:t>
      </w:r>
      <w:r>
        <w:rPr>
          <w:rFonts w:eastAsia="Times New Roman"/>
          <w:b/>
          <w:bCs/>
          <w:color w:val="000000"/>
          <w:sz w:val="28"/>
          <w:szCs w:val="28"/>
          <w:lang w:eastAsia="uk-UA"/>
        </w:rPr>
        <w:t xml:space="preserve">на 2025-2026 роки з реалізації в Івано-Франківській області Національної стратегії </w:t>
      </w:r>
    </w:p>
    <w:p>
      <w:pPr>
        <w:pStyle w:val="Normal"/>
        <w:jc w:val="center"/>
        <w:rPr>
          <w:b/>
          <w:b/>
          <w:bCs/>
        </w:rPr>
      </w:pPr>
      <w:r>
        <w:rPr>
          <w:rFonts w:eastAsia="Times New Roman"/>
          <w:b/>
          <w:bCs/>
          <w:color w:val="000000"/>
          <w:sz w:val="28"/>
          <w:szCs w:val="28"/>
          <w:lang w:eastAsia="uk-UA"/>
        </w:rPr>
        <w:t>із створення безбар’єрного простору в Україні на період до 2030 року</w:t>
      </w:r>
      <w:r>
        <w:rPr>
          <w:b/>
          <w:bCs/>
        </w:rPr>
        <w:br/>
      </w:r>
    </w:p>
    <w:tbl>
      <w:tblPr>
        <w:tblW w:w="15026" w:type="dxa"/>
        <w:jc w:val="start"/>
        <w:tblInd w:w="-72" w:type="dxa"/>
        <w:tblCellMar>
          <w:top w:w="0" w:type="dxa"/>
          <w:start w:w="108" w:type="dxa"/>
          <w:bottom w:w="0" w:type="dxa"/>
          <w:end w:w="108" w:type="dxa"/>
        </w:tblCellMar>
      </w:tblPr>
      <w:tblGrid>
        <w:gridCol w:w="1800"/>
        <w:gridCol w:w="3240"/>
        <w:gridCol w:w="3540"/>
        <w:gridCol w:w="2040"/>
        <w:gridCol w:w="2340"/>
        <w:gridCol w:w="2066"/>
      </w:tblGrid>
      <w:tr>
        <w:trPr>
          <w:tblHeader w:val="true"/>
          <w:trHeight w:val="23" w:hRule="atLeast"/>
        </w:trPr>
        <w:tc>
          <w:tcPr>
            <w:tcW w:w="1800" w:type="dxa"/>
            <w:tcBorders>
              <w:top w:val="single" w:sz="4" w:space="0" w:color="000000"/>
              <w:bottom w:val="single" w:sz="4" w:space="0" w:color="000000"/>
            </w:tcBorders>
            <w:vAlign w:val="center"/>
          </w:tcPr>
          <w:p>
            <w:pPr>
              <w:pStyle w:val="Normal"/>
              <w:widowControl w:val="false"/>
              <w:spacing w:before="120" w:after="0"/>
              <w:ind w:start="-57" w:end="-57" w:hanging="0"/>
              <w:jc w:val="center"/>
              <w:rPr>
                <w:b/>
                <w:b/>
                <w:sz w:val="22"/>
                <w:szCs w:val="22"/>
              </w:rPr>
            </w:pPr>
            <w:r>
              <w:rPr>
                <w:b/>
                <w:sz w:val="22"/>
                <w:szCs w:val="22"/>
              </w:rPr>
              <w:t>Найменування завдання</w:t>
            </w:r>
          </w:p>
        </w:tc>
        <w:tc>
          <w:tcPr>
            <w:tcW w:w="3240" w:type="dxa"/>
            <w:tcBorders>
              <w:top w:val="single" w:sz="4" w:space="0" w:color="000000"/>
              <w:start w:val="single" w:sz="4" w:space="0" w:color="000000"/>
              <w:bottom w:val="single" w:sz="4" w:space="0" w:color="000000"/>
            </w:tcBorders>
            <w:vAlign w:val="center"/>
          </w:tcPr>
          <w:p>
            <w:pPr>
              <w:pStyle w:val="Normal"/>
              <w:widowControl w:val="false"/>
              <w:spacing w:before="120" w:after="0"/>
              <w:ind w:start="-57" w:end="-57" w:hanging="0"/>
              <w:jc w:val="center"/>
              <w:rPr>
                <w:b/>
                <w:b/>
                <w:sz w:val="22"/>
                <w:szCs w:val="22"/>
              </w:rPr>
            </w:pPr>
            <w:r>
              <w:rPr>
                <w:b/>
                <w:sz w:val="22"/>
                <w:szCs w:val="22"/>
              </w:rPr>
              <w:t>Найменування заходу</w:t>
            </w:r>
          </w:p>
        </w:tc>
        <w:tc>
          <w:tcPr>
            <w:tcW w:w="3540" w:type="dxa"/>
            <w:tcBorders>
              <w:top w:val="single" w:sz="4" w:space="0" w:color="000000"/>
              <w:start w:val="single" w:sz="4" w:space="0" w:color="000000"/>
              <w:bottom w:val="single" w:sz="4" w:space="0" w:color="000000"/>
            </w:tcBorders>
            <w:vAlign w:val="center"/>
          </w:tcPr>
          <w:p>
            <w:pPr>
              <w:pStyle w:val="Normal"/>
              <w:widowControl w:val="false"/>
              <w:spacing w:before="120" w:after="0"/>
              <w:ind w:end="-57" w:hanging="0"/>
              <w:jc w:val="center"/>
              <w:rPr>
                <w:b/>
                <w:b/>
                <w:sz w:val="22"/>
                <w:szCs w:val="22"/>
              </w:rPr>
            </w:pPr>
            <w:r>
              <w:rPr>
                <w:b/>
                <w:sz w:val="22"/>
                <w:szCs w:val="22"/>
              </w:rPr>
              <w:t>Результат виконання заходу</w:t>
            </w:r>
          </w:p>
        </w:tc>
        <w:tc>
          <w:tcPr>
            <w:tcW w:w="2040" w:type="dxa"/>
            <w:tcBorders>
              <w:top w:val="single" w:sz="4" w:space="0" w:color="000000"/>
              <w:start w:val="single" w:sz="4" w:space="0" w:color="000000"/>
              <w:bottom w:val="single" w:sz="4" w:space="0" w:color="000000"/>
            </w:tcBorders>
            <w:vAlign w:val="center"/>
          </w:tcPr>
          <w:p>
            <w:pPr>
              <w:pStyle w:val="Normal"/>
              <w:widowControl w:val="false"/>
              <w:spacing w:before="120" w:after="0"/>
              <w:ind w:start="-57" w:end="-108" w:hanging="0"/>
              <w:jc w:val="center"/>
              <w:rPr>
                <w:b/>
                <w:b/>
                <w:sz w:val="22"/>
                <w:szCs w:val="22"/>
              </w:rPr>
            </w:pPr>
            <w:r>
              <w:rPr>
                <w:b/>
                <w:sz w:val="22"/>
                <w:szCs w:val="22"/>
              </w:rPr>
              <w:t>Строк виконання</w:t>
            </w:r>
          </w:p>
        </w:tc>
        <w:tc>
          <w:tcPr>
            <w:tcW w:w="2340" w:type="dxa"/>
            <w:tcBorders>
              <w:top w:val="single" w:sz="4" w:space="0" w:color="000000"/>
              <w:start w:val="single" w:sz="4" w:space="0" w:color="000000"/>
              <w:bottom w:val="single" w:sz="4" w:space="0" w:color="000000"/>
            </w:tcBorders>
            <w:vAlign w:val="center"/>
          </w:tcPr>
          <w:p>
            <w:pPr>
              <w:pStyle w:val="Normal"/>
              <w:widowControl w:val="false"/>
              <w:spacing w:before="120" w:after="0"/>
              <w:ind w:start="-57" w:end="-57" w:hanging="0"/>
              <w:jc w:val="center"/>
              <w:rPr>
                <w:b/>
                <w:b/>
                <w:sz w:val="22"/>
                <w:szCs w:val="22"/>
              </w:rPr>
            </w:pPr>
            <w:r>
              <w:rPr>
                <w:b/>
                <w:sz w:val="22"/>
                <w:szCs w:val="22"/>
              </w:rPr>
              <w:t>Відповідальні за виконання</w:t>
            </w:r>
          </w:p>
        </w:tc>
        <w:tc>
          <w:tcPr>
            <w:tcW w:w="2066" w:type="dxa"/>
            <w:tcBorders>
              <w:top w:val="single" w:sz="4" w:space="0" w:color="000000"/>
              <w:start w:val="single" w:sz="4" w:space="0" w:color="000000"/>
              <w:bottom w:val="single" w:sz="4" w:space="0" w:color="000000"/>
            </w:tcBorders>
            <w:vAlign w:val="center"/>
          </w:tcPr>
          <w:p>
            <w:pPr>
              <w:pStyle w:val="Normal"/>
              <w:widowControl w:val="false"/>
              <w:spacing w:before="120" w:after="0"/>
              <w:ind w:start="-57" w:end="-57" w:hanging="0"/>
              <w:jc w:val="center"/>
              <w:rPr>
                <w:b/>
                <w:b/>
                <w:sz w:val="22"/>
                <w:szCs w:val="22"/>
              </w:rPr>
            </w:pPr>
            <w:r>
              <w:rPr>
                <w:b/>
                <w:sz w:val="22"/>
                <w:szCs w:val="22"/>
              </w:rPr>
              <w:t>Індикатор виконання</w:t>
            </w:r>
          </w:p>
        </w:tc>
      </w:tr>
      <w:tr>
        <w:trPr>
          <w:trHeight w:val="23" w:hRule="atLeast"/>
        </w:trPr>
        <w:tc>
          <w:tcPr>
            <w:tcW w:w="15026" w:type="dxa"/>
            <w:gridSpan w:val="6"/>
            <w:tcBorders>
              <w:top w:val="single" w:sz="4" w:space="0" w:color="000000"/>
            </w:tcBorders>
          </w:tcPr>
          <w:p>
            <w:pPr>
              <w:pStyle w:val="Normal"/>
              <w:spacing w:before="120" w:after="0"/>
              <w:ind w:start="-40" w:end="-108" w:hanging="0"/>
              <w:jc w:val="center"/>
              <w:rPr>
                <w:b/>
                <w:b/>
                <w:sz w:val="22"/>
                <w:szCs w:val="22"/>
              </w:rPr>
            </w:pPr>
            <w:r>
              <w:rPr>
                <w:b/>
                <w:sz w:val="22"/>
                <w:szCs w:val="22"/>
              </w:rPr>
              <w:t>Напрям 1. Фізична безбар’єрність</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“Новостворені обʼєкти фізичного оточення відповідають вимогам до фізичної безбарʼєрності”</w:t>
            </w:r>
          </w:p>
        </w:tc>
      </w:tr>
      <w:tr>
        <w:trPr>
          <w:trHeight w:val="68" w:hRule="atLeast"/>
        </w:trPr>
        <w:tc>
          <w:tcPr>
            <w:tcW w:w="1800" w:type="dxa"/>
            <w:tcBorders>
              <w:bottom w:val="single" w:sz="4" w:space="0" w:color="000000"/>
            </w:tcBorders>
          </w:tcPr>
          <w:p>
            <w:pPr>
              <w:pStyle w:val="Normal"/>
              <w:widowControl w:val="false"/>
              <w:rPr>
                <w:sz w:val="22"/>
                <w:szCs w:val="22"/>
              </w:rPr>
            </w:pPr>
            <w:r>
              <w:rPr>
                <w:sz w:val="22"/>
                <w:szCs w:val="22"/>
              </w:rPr>
              <w:t>1. Забезпечення ефективного контролю за дотриманням вимог нормативно-правових актів щодо забезпечення фізичної доступності для маломобільних груп населення на всіх етапах (планування, будівництва, введення в експлуатацію) створення обʼєктів будівництва та містобудування</w:t>
            </w:r>
          </w:p>
        </w:tc>
        <w:tc>
          <w:tcPr>
            <w:tcW w:w="3240" w:type="dxa"/>
            <w:tcBorders/>
          </w:tcPr>
          <w:p>
            <w:pPr>
              <w:pStyle w:val="Normal"/>
              <w:rPr/>
            </w:pPr>
            <w:r>
              <w:rPr>
                <w:sz w:val="22"/>
                <w:szCs w:val="22"/>
              </w:rPr>
              <w:t>4) забезпечення впровадження механізму притягнення до відповідальності суб’єктів містобудування, які проводять експертизу проектів будівництва, за недотримання</w:t>
            </w:r>
            <w:r>
              <w:rPr>
                <w:b/>
                <w:sz w:val="22"/>
                <w:szCs w:val="22"/>
              </w:rPr>
              <w:t xml:space="preserve"> </w:t>
            </w:r>
            <w:r>
              <w:rPr>
                <w:sz w:val="22"/>
                <w:szCs w:val="22"/>
              </w:rPr>
              <w:t xml:space="preserve">вимог щодо створення умов для безперешкодного доступу осіб з інвалідністю та інших маломобільних груп населення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—червень 2025 р.</w:t>
            </w:r>
          </w:p>
        </w:tc>
        <w:tc>
          <w:tcPr>
            <w:tcW w:w="2340" w:type="dxa"/>
            <w:tcBorders/>
          </w:tcPr>
          <w:p>
            <w:pPr>
              <w:pStyle w:val="Normal"/>
              <w:rPr>
                <w:sz w:val="22"/>
                <w:szCs w:val="22"/>
              </w:rPr>
            </w:pPr>
            <w:r>
              <w:rPr>
                <w:sz w:val="22"/>
                <w:szCs w:val="22"/>
              </w:rPr>
              <w:t>Виконавчі органи з питань державного архітектурно-будівельного контролю сільських, селищних, міських рад Івано-Франківської області</w:t>
            </w:r>
          </w:p>
        </w:tc>
        <w:tc>
          <w:tcPr>
            <w:tcW w:w="2066" w:type="dxa"/>
            <w:tcBorders/>
          </w:tcPr>
          <w:p>
            <w:pPr>
              <w:pStyle w:val="Normal"/>
              <w:rPr>
                <w:sz w:val="22"/>
                <w:szCs w:val="22"/>
              </w:rPr>
            </w:pPr>
            <w:r>
              <w:rPr>
                <w:sz w:val="22"/>
                <w:szCs w:val="22"/>
              </w:rPr>
              <w:t>підготовлено звіт про притягнення до відповідальності суб’єктів містобудування, які проводять експертизу проектів будівництва</w:t>
            </w:r>
          </w:p>
        </w:tc>
      </w:tr>
      <w:tr>
        <w:trPr>
          <w:trHeight w:val="2690" w:hRule="atLeast"/>
        </w:trPr>
        <w:tc>
          <w:tcPr>
            <w:tcW w:w="1800" w:type="dxa"/>
            <w:tcBorders>
              <w:top w:val="single" w:sz="4" w:space="0" w:color="000000"/>
              <w:bottom w:val="single" w:sz="4" w:space="0" w:color="000000"/>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 xml:space="preserve">5) забезпечення </w:t>
            </w:r>
            <w:r>
              <w:rPr>
                <w:sz w:val="22"/>
                <w:szCs w:val="22"/>
                <w:shd w:fill="FFFFFF" w:val="clear"/>
              </w:rPr>
              <w:t>відкритості та прозорості механізмів здійснення контролю за відповідністю проектної документації</w:t>
            </w:r>
            <w:r>
              <w:rPr>
                <w:sz w:val="22"/>
                <w:szCs w:val="22"/>
              </w:rPr>
              <w:t xml:space="preserve"> вимогам державних будівельних норм щодо інклюзивності шляхом публікації звітів про результати проведених заходів державного архітектурно-будівельного контролю</w:t>
            </w:r>
          </w:p>
        </w:tc>
        <w:tc>
          <w:tcPr>
            <w:tcW w:w="3540" w:type="dxa"/>
            <w:tcBorders/>
          </w:tcPr>
          <w:p>
            <w:pPr>
              <w:pStyle w:val="Normal"/>
              <w:snapToGrid w:val="false"/>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p>
            <w:pPr>
              <w:pStyle w:val="Normal"/>
              <w:rPr>
                <w:sz w:val="22"/>
                <w:szCs w:val="22"/>
              </w:rPr>
            </w:pPr>
            <w:r>
              <w:rPr>
                <w:sz w:val="22"/>
                <w:szCs w:val="22"/>
              </w:rPr>
            </w:r>
          </w:p>
          <w:p>
            <w:pPr>
              <w:pStyle w:val="Normal"/>
              <w:rPr>
                <w:sz w:val="22"/>
                <w:szCs w:val="22"/>
                <w:lang w:val="en-US"/>
              </w:rPr>
            </w:pPr>
            <w:r>
              <w:rPr>
                <w:sz w:val="22"/>
                <w:szCs w:val="22"/>
                <w:lang w:val="en-US"/>
              </w:rPr>
            </w:r>
          </w:p>
        </w:tc>
        <w:tc>
          <w:tcPr>
            <w:tcW w:w="2340" w:type="dxa"/>
            <w:tcBorders/>
          </w:tcPr>
          <w:p>
            <w:pPr>
              <w:pStyle w:val="Normal"/>
              <w:rPr>
                <w:sz w:val="22"/>
                <w:szCs w:val="22"/>
              </w:rPr>
            </w:pPr>
            <w:r>
              <w:rPr>
                <w:sz w:val="22"/>
                <w:szCs w:val="22"/>
              </w:rPr>
              <w:t>Виконавчі органи з питань державного архітектурно-будівельного контролю сільських, селищних, міських рад Івано-Франківської області</w:t>
            </w:r>
          </w:p>
          <w:p>
            <w:pPr>
              <w:pStyle w:val="Normal"/>
              <w:rPr>
                <w:sz w:val="22"/>
                <w:szCs w:val="22"/>
                <w:lang w:val="ru-RU"/>
              </w:rPr>
            </w:pPr>
            <w:r>
              <w:rPr>
                <w:sz w:val="22"/>
                <w:szCs w:val="22"/>
                <w:lang w:val="ru-RU"/>
              </w:rPr>
            </w:r>
          </w:p>
        </w:tc>
        <w:tc>
          <w:tcPr>
            <w:tcW w:w="2066" w:type="dxa"/>
            <w:tcBorders/>
          </w:tcPr>
          <w:p>
            <w:pPr>
              <w:pStyle w:val="Normal"/>
              <w:widowControl w:val="false"/>
              <w:rPr>
                <w:strike/>
                <w:sz w:val="22"/>
                <w:szCs w:val="22"/>
                <w:lang w:val="ru-RU"/>
              </w:rPr>
            </w:pPr>
            <w:r>
              <w:rPr>
                <w:sz w:val="22"/>
                <w:szCs w:val="22"/>
              </w:rPr>
              <w:t>підготовлено звіт про результати публікації звітів щодо оглядів, проведених ДІАМ та іншими уповноваженими органами</w:t>
            </w:r>
          </w:p>
        </w:tc>
      </w:tr>
      <w:tr>
        <w:trPr>
          <w:trHeight w:val="450" w:hRule="atLeast"/>
        </w:trPr>
        <w:tc>
          <w:tcPr>
            <w:tcW w:w="1800" w:type="dxa"/>
            <w:vMerge w:val="restart"/>
            <w:tcBorders>
              <w:top w:val="single" w:sz="4" w:space="0" w:color="000000"/>
            </w:tcBorders>
          </w:tcPr>
          <w:p>
            <w:pPr>
              <w:pStyle w:val="Normal"/>
              <w:widowControl w:val="false"/>
              <w:snapToGrid w:val="false"/>
              <w:rPr>
                <w:strike/>
                <w:sz w:val="22"/>
                <w:szCs w:val="22"/>
                <w:lang w:val="ru-RU"/>
              </w:rPr>
            </w:pPr>
            <w:r>
              <w:rPr>
                <w:strike/>
                <w:sz w:val="22"/>
                <w:szCs w:val="22"/>
                <w:lang w:val="ru-RU"/>
              </w:rPr>
            </w:r>
          </w:p>
        </w:tc>
        <w:tc>
          <w:tcPr>
            <w:tcW w:w="3240" w:type="dxa"/>
            <w:tcBorders/>
          </w:tcPr>
          <w:p>
            <w:pPr>
              <w:pStyle w:val="Normal"/>
              <w:rPr>
                <w:sz w:val="22"/>
                <w:szCs w:val="22"/>
              </w:rPr>
            </w:pPr>
            <w:r>
              <w:rPr>
                <w:sz w:val="22"/>
                <w:szCs w:val="22"/>
              </w:rPr>
              <w:t>10) здійснення органами державного архітектурно-будівельного контролю заходів державного архітектурно-будівельного контролю на об’єктах будівництва, щодо дотримання замовниками, проектувальниками, підрядниками та експертними організаціями будівельних норм у частині виконання вимог щодо інклюзивності будівель і споруд</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Виконавчі органи з питань державного архітектурно-будівельного контролю сільських, селищних, міських рад Івано-Франківської області</w:t>
            </w:r>
          </w:p>
        </w:tc>
        <w:tc>
          <w:tcPr>
            <w:tcW w:w="2066" w:type="dxa"/>
            <w:tcBorders/>
          </w:tcPr>
          <w:p>
            <w:pPr>
              <w:pStyle w:val="Normal"/>
              <w:rPr>
                <w:sz w:val="22"/>
                <w:szCs w:val="22"/>
              </w:rPr>
            </w:pPr>
            <w:r>
              <w:rPr>
                <w:sz w:val="22"/>
                <w:szCs w:val="22"/>
              </w:rPr>
              <w:t>забезпечено підготовку щороку звіту Мінрозвитку про результати здійснення заходів державного архітектурно-будівельного контролю щодо дотримання замовниками, проектувальниками, підрядниками та експертними організаціями будівельних норм у частині виконання вимог щодо інклюзивності будівель і споруд</w:t>
            </w:r>
          </w:p>
        </w:tc>
      </w:tr>
      <w:tr>
        <w:trPr>
          <w:trHeight w:val="23" w:hRule="atLeast"/>
        </w:trPr>
        <w:tc>
          <w:tcPr>
            <w:tcW w:w="1800" w:type="dxa"/>
            <w:vMerge w:val="continue"/>
            <w:tcBorders>
              <w:top w:val="single" w:sz="4" w:space="0" w:color="000000"/>
            </w:tcBorders>
          </w:tcPr>
          <w:p>
            <w:pPr>
              <w:pStyle w:val="Normal"/>
              <w:widowControl w:val="false"/>
              <w:snapToGrid w:val="false"/>
              <w:spacing w:before="120" w:after="0"/>
              <w:ind w:start="-57" w:hanging="0"/>
              <w:rPr>
                <w:sz w:val="22"/>
                <w:szCs w:val="22"/>
              </w:rPr>
            </w:pPr>
            <w:r>
              <w:rPr>
                <w:sz w:val="22"/>
                <w:szCs w:val="22"/>
              </w:rPr>
            </w:r>
          </w:p>
        </w:tc>
        <w:tc>
          <w:tcPr>
            <w:tcW w:w="3240" w:type="dxa"/>
            <w:tcBorders>
              <w:top w:val="single" w:sz="4" w:space="0" w:color="000000"/>
              <w:bottom w:val="single" w:sz="4" w:space="0" w:color="000000"/>
            </w:tcBorders>
          </w:tcPr>
          <w:p>
            <w:pPr>
              <w:pStyle w:val="Normal"/>
              <w:rPr>
                <w:sz w:val="22"/>
                <w:szCs w:val="22"/>
              </w:rPr>
            </w:pPr>
            <w:r>
              <w:rPr>
                <w:sz w:val="22"/>
                <w:szCs w:val="22"/>
              </w:rPr>
              <w:t xml:space="preserve">11) здійснення заходів </w:t>
            </w:r>
          </w:p>
        </w:tc>
        <w:tc>
          <w:tcPr>
            <w:tcW w:w="3540" w:type="dxa"/>
            <w:tcBorders>
              <w:bottom w:val="single" w:sz="4" w:space="0" w:color="000000"/>
            </w:tcBorders>
          </w:tcPr>
          <w:p>
            <w:pPr>
              <w:pStyle w:val="Normal"/>
              <w:snapToGrid w:val="false"/>
              <w:rPr>
                <w:sz w:val="22"/>
                <w:szCs w:val="22"/>
              </w:rPr>
            </w:pPr>
            <w:r>
              <w:rPr>
                <w:sz w:val="22"/>
                <w:szCs w:val="22"/>
              </w:rPr>
            </w:r>
          </w:p>
        </w:tc>
        <w:tc>
          <w:tcPr>
            <w:tcW w:w="2040" w:type="dxa"/>
            <w:tcBorders>
              <w:bottom w:val="single" w:sz="4" w:space="0" w:color="000000"/>
            </w:tcBorders>
          </w:tcPr>
          <w:p>
            <w:pPr>
              <w:pStyle w:val="Normal"/>
              <w:rPr>
                <w:sz w:val="22"/>
                <w:szCs w:val="22"/>
              </w:rPr>
            </w:pPr>
            <w:r>
              <w:rPr>
                <w:sz w:val="22"/>
                <w:szCs w:val="22"/>
              </w:rPr>
              <w:t>2025—</w:t>
            </w:r>
          </w:p>
        </w:tc>
        <w:tc>
          <w:tcPr>
            <w:tcW w:w="2340" w:type="dxa"/>
            <w:tcBorders>
              <w:bottom w:val="single" w:sz="4" w:space="0" w:color="000000"/>
            </w:tcBorders>
          </w:tcPr>
          <w:p>
            <w:pPr>
              <w:pStyle w:val="Normal"/>
              <w:rPr/>
            </w:pPr>
            <w:r>
              <w:rPr>
                <w:sz w:val="22"/>
                <w:szCs w:val="22"/>
              </w:rPr>
              <w:t xml:space="preserve">Виконавчі органи з </w:t>
            </w:r>
          </w:p>
        </w:tc>
        <w:tc>
          <w:tcPr>
            <w:tcW w:w="2066" w:type="dxa"/>
            <w:tcBorders>
              <w:bottom w:val="single" w:sz="4" w:space="0" w:color="000000"/>
            </w:tcBorders>
          </w:tcPr>
          <w:p>
            <w:pPr>
              <w:pStyle w:val="Normal"/>
              <w:spacing w:before="120" w:after="0"/>
              <w:rPr>
                <w:sz w:val="22"/>
                <w:szCs w:val="22"/>
              </w:rPr>
            </w:pPr>
            <w:r>
              <w:rPr>
                <w:sz w:val="22"/>
                <w:szCs w:val="22"/>
              </w:rPr>
              <w:t xml:space="preserve">підготовлено звіт </w:t>
            </w:r>
          </w:p>
        </w:tc>
      </w:tr>
      <w:tr>
        <w:trPr>
          <w:trHeight w:val="3132" w:hRule="atLeast"/>
        </w:trPr>
        <w:tc>
          <w:tcPr>
            <w:tcW w:w="1800" w:type="dxa"/>
            <w:vMerge w:val="continue"/>
            <w:tcBorders>
              <w:top w:val="single" w:sz="4" w:space="0" w:color="000000"/>
            </w:tcBorders>
          </w:tcPr>
          <w:p>
            <w:pPr>
              <w:pStyle w:val="Normal"/>
              <w:widowControl w:val="false"/>
              <w:snapToGrid w:val="false"/>
              <w:spacing w:before="120" w:after="0"/>
              <w:ind w:start="-57" w:hanging="0"/>
              <w:rPr>
                <w:sz w:val="22"/>
                <w:szCs w:val="22"/>
              </w:rPr>
            </w:pPr>
            <w:r>
              <w:rPr>
                <w:sz w:val="22"/>
                <w:szCs w:val="22"/>
              </w:rPr>
            </w:r>
          </w:p>
        </w:tc>
        <w:tc>
          <w:tcPr>
            <w:tcW w:w="3240" w:type="dxa"/>
            <w:tcBorders>
              <w:top w:val="single" w:sz="4" w:space="0" w:color="000000"/>
            </w:tcBorders>
          </w:tcPr>
          <w:p>
            <w:pPr>
              <w:pStyle w:val="Normal"/>
              <w:rPr>
                <w:sz w:val="22"/>
                <w:szCs w:val="22"/>
              </w:rPr>
            </w:pPr>
            <w:r>
              <w:rPr>
                <w:sz w:val="22"/>
                <w:szCs w:val="22"/>
              </w:rPr>
              <w:t>контролю та інспектування об’єктів будівництва, що фінансуються за рахунок міжнародної технічної допомоги</w:t>
            </w:r>
          </w:p>
        </w:tc>
        <w:tc>
          <w:tcPr>
            <w:tcW w:w="3540" w:type="dxa"/>
            <w:tcBorders>
              <w:top w:val="single" w:sz="4" w:space="0" w:color="000000"/>
            </w:tcBorders>
          </w:tcPr>
          <w:p>
            <w:pPr>
              <w:pStyle w:val="Normal"/>
              <w:snapToGrid w:val="false"/>
              <w:rPr>
                <w:sz w:val="22"/>
                <w:szCs w:val="22"/>
              </w:rPr>
            </w:pPr>
            <w:r>
              <w:rPr>
                <w:sz w:val="22"/>
                <w:szCs w:val="22"/>
              </w:rPr>
            </w:r>
          </w:p>
        </w:tc>
        <w:tc>
          <w:tcPr>
            <w:tcW w:w="2040" w:type="dxa"/>
            <w:tcBorders>
              <w:top w:val="single" w:sz="4" w:space="0" w:color="000000"/>
            </w:tcBorders>
          </w:tcPr>
          <w:p>
            <w:pPr>
              <w:pStyle w:val="Normal"/>
              <w:rPr>
                <w:sz w:val="22"/>
                <w:szCs w:val="22"/>
              </w:rPr>
            </w:pPr>
            <w:r>
              <w:rPr>
                <w:sz w:val="22"/>
                <w:szCs w:val="22"/>
              </w:rPr>
              <w:t>2026 роки</w:t>
            </w:r>
          </w:p>
        </w:tc>
        <w:tc>
          <w:tcPr>
            <w:tcW w:w="2340" w:type="dxa"/>
            <w:tcBorders>
              <w:top w:val="single" w:sz="4" w:space="0" w:color="000000"/>
            </w:tcBorders>
          </w:tcPr>
          <w:p>
            <w:pPr>
              <w:pStyle w:val="Normal"/>
              <w:rPr/>
            </w:pPr>
            <w:r>
              <w:rPr>
                <w:sz w:val="22"/>
                <w:szCs w:val="22"/>
              </w:rPr>
              <w:t>питань державного архітектурно-будівельного контролю сільських, селищних, міських рад Івано-Франківської області</w:t>
            </w:r>
          </w:p>
        </w:tc>
        <w:tc>
          <w:tcPr>
            <w:tcW w:w="2066" w:type="dxa"/>
            <w:tcBorders>
              <w:top w:val="single" w:sz="4" w:space="0" w:color="000000"/>
            </w:tcBorders>
          </w:tcPr>
          <w:p>
            <w:pPr>
              <w:pStyle w:val="Normal"/>
              <w:spacing w:before="120" w:after="0"/>
              <w:rPr>
                <w:sz w:val="22"/>
                <w:szCs w:val="22"/>
              </w:rPr>
            </w:pPr>
            <w:r>
              <w:rPr>
                <w:sz w:val="22"/>
                <w:szCs w:val="22"/>
              </w:rPr>
              <w:t>про кількість і результати здійснення заходів контролю та інспектування об’єктів будівництва, що фінансуються за рахунок міжнародної технічної допомоги</w:t>
            </w:r>
          </w:p>
        </w:tc>
      </w:tr>
      <w:tr>
        <w:trPr>
          <w:trHeight w:val="2097" w:hRule="atLeast"/>
        </w:trPr>
        <w:tc>
          <w:tcPr>
            <w:tcW w:w="1800" w:type="dxa"/>
            <w:tcBorders/>
          </w:tcPr>
          <w:p>
            <w:pPr>
              <w:pStyle w:val="Normal"/>
              <w:rPr>
                <w:sz w:val="22"/>
                <w:szCs w:val="22"/>
              </w:rPr>
            </w:pPr>
            <w:r>
              <w:rPr>
                <w:sz w:val="22"/>
                <w:szCs w:val="22"/>
              </w:rPr>
              <w:t>3. Визначення вимог до безбарʼєрності в державних будівельних нормах та імплементація європейських стандартів</w:t>
            </w:r>
          </w:p>
        </w:tc>
        <w:tc>
          <w:tcPr>
            <w:tcW w:w="3240" w:type="dxa"/>
            <w:tcBorders/>
          </w:tcPr>
          <w:p>
            <w:pPr>
              <w:pStyle w:val="Normal"/>
              <w:widowControl w:val="false"/>
              <w:rPr>
                <w:sz w:val="22"/>
                <w:szCs w:val="22"/>
              </w:rPr>
            </w:pPr>
            <w:r>
              <w:rPr>
                <w:sz w:val="22"/>
                <w:szCs w:val="22"/>
              </w:rPr>
              <w:t>7) проведення разом із закладами вищої освіти інформаційних заходів щодо висвітлення оновлених державних будівельних норм, європейських і міжнародних стандартів доступності для маломобільних груп населення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оприлюднення щокварталу інформації про проведені заходи</w:t>
            </w:r>
          </w:p>
        </w:tc>
      </w:tr>
      <w:tr>
        <w:trPr>
          <w:trHeight w:val="3528" w:hRule="atLeast"/>
        </w:trPr>
        <w:tc>
          <w:tcPr>
            <w:tcW w:w="1800" w:type="dxa"/>
            <w:tcBorders/>
          </w:tcPr>
          <w:p>
            <w:pPr>
              <w:pStyle w:val="Normal"/>
              <w:rPr>
                <w:sz w:val="22"/>
                <w:szCs w:val="22"/>
              </w:rPr>
            </w:pPr>
            <w:r>
              <w:rPr>
                <w:sz w:val="22"/>
                <w:szCs w:val="22"/>
              </w:rPr>
              <w:t>4. Підвищення кваліфікації фахівців (проектувальників, експертів, замовників та виконавців) щодо стандартів доступності і інклюзивності, універсального дизайну, дослідження шляху користувача об’єкта фізичного оточення</w:t>
            </w:r>
          </w:p>
        </w:tc>
        <w:tc>
          <w:tcPr>
            <w:tcW w:w="3240" w:type="dxa"/>
            <w:tcBorders/>
          </w:tcPr>
          <w:p>
            <w:pPr>
              <w:pStyle w:val="Normal"/>
              <w:rPr>
                <w:sz w:val="22"/>
                <w:szCs w:val="22"/>
              </w:rPr>
            </w:pPr>
            <w:r>
              <w:rPr>
                <w:sz w:val="22"/>
                <w:szCs w:val="22"/>
              </w:rPr>
              <w:t>3) проведення для проектувальників, підрядників та експертів навчальних семінарів та тренінгів щодо стандартів доступності і інклюзивності, універсального дизайну, дослідження шляху користувача об’єкта фізичного оточення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 xml:space="preserve">Івано-Франківський регіональний центр підвищення кваліфікації </w:t>
            </w:r>
          </w:p>
          <w:p>
            <w:pPr>
              <w:pStyle w:val="Normal"/>
              <w:rPr>
                <w:sz w:val="22"/>
                <w:szCs w:val="22"/>
              </w:rPr>
            </w:pPr>
            <w:r>
              <w:rPr>
                <w:sz w:val="22"/>
                <w:szCs w:val="22"/>
              </w:rPr>
              <w:t>(за згодою)</w:t>
            </w:r>
          </w:p>
        </w:tc>
        <w:tc>
          <w:tcPr>
            <w:tcW w:w="2066" w:type="dxa"/>
            <w:tcBorders/>
          </w:tcPr>
          <w:p>
            <w:pPr>
              <w:pStyle w:val="Normal"/>
              <w:rPr>
                <w:sz w:val="22"/>
                <w:szCs w:val="22"/>
              </w:rPr>
            </w:pPr>
            <w:r>
              <w:rPr>
                <w:sz w:val="22"/>
                <w:szCs w:val="22"/>
              </w:rPr>
              <w:t xml:space="preserve">проведено не менше п’яти навчальних семінарів </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“Об’єкти фізичного оточення адаптуються відповідно до сучасних стандартів доступності”</w:t>
            </w:r>
          </w:p>
        </w:tc>
      </w:tr>
      <w:tr>
        <w:trPr>
          <w:trHeight w:val="270" w:hRule="atLeast"/>
        </w:trPr>
        <w:tc>
          <w:tcPr>
            <w:tcW w:w="1800" w:type="dxa"/>
            <w:vMerge w:val="restart"/>
            <w:tcBorders/>
          </w:tcPr>
          <w:p>
            <w:pPr>
              <w:pStyle w:val="Normal"/>
              <w:rPr>
                <w:sz w:val="22"/>
                <w:szCs w:val="22"/>
              </w:rPr>
            </w:pPr>
            <w:r>
              <w:rPr>
                <w:sz w:val="22"/>
                <w:szCs w:val="22"/>
              </w:rPr>
              <w:t>6. Забезпечення розроблення місцевих програм розвитку, які передбачають зміну просторів згідно з вимогами до безбар’єрності (реконструкція, капітальний, поточний ремонт, розумне пристосування)</w:t>
            </w:r>
          </w:p>
        </w:tc>
        <w:tc>
          <w:tcPr>
            <w:tcW w:w="3240" w:type="dxa"/>
            <w:tcBorders/>
          </w:tcPr>
          <w:p>
            <w:pPr>
              <w:pStyle w:val="Normal"/>
              <w:rPr>
                <w:sz w:val="22"/>
                <w:szCs w:val="22"/>
              </w:rPr>
            </w:pPr>
            <w:r>
              <w:rPr>
                <w:sz w:val="22"/>
                <w:szCs w:val="22"/>
              </w:rPr>
              <w:t>1) визначення переліку наявних об’єктів, які не відповідають вимогам до безбарʼєрності, за типом будівель і споруд, сферою діяльності, в якій задіяні відповідні об’єкти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створено електронну базу результатів моніторингу та забезпечено вільний доступ до неї на офіційних веб-сайтах Мінрозвитку та/або обласних, Київської міської держадміністрацій (військових адміністрацій)</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проведення інформаційних кампаній щодо забезпечення фізичної безбар’єрності з метою інтеграції принципів доступності до місцевих програмних та стратегічних документів</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color w:val="212529"/>
                <w:sz w:val="22"/>
                <w:szCs w:val="22"/>
                <w:shd w:fill="FFFFFF" w:val="clear"/>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звіту про результати проведення інформаційних кампаній</w:t>
            </w:r>
          </w:p>
        </w:tc>
      </w:tr>
      <w:tr>
        <w:trPr>
          <w:trHeight w:val="3912"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залучення представників органів місцевого самоврядування, а також інститутів громадянського суспільства i бізнес-спільнот до формування та реалізації політики з розвитку безбар’єрного середовища та послуг</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—червень 2025 р.</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підготовлено звіт про залучення представників органів місцевого самоврядування, а також інститутів громадянського суспільства i бізнес-спільнот до формування та реалізації політики з розвитку безбар’єрного середовища та послуг</w:t>
            </w:r>
          </w:p>
        </w:tc>
      </w:tr>
      <w:tr>
        <w:trPr>
          <w:trHeight w:val="23" w:hRule="atLeast"/>
        </w:trPr>
        <w:tc>
          <w:tcPr>
            <w:tcW w:w="1800" w:type="dxa"/>
            <w:tcBorders/>
          </w:tcPr>
          <w:p>
            <w:pPr>
              <w:pStyle w:val="Normal"/>
              <w:rPr>
                <w:color w:val="000000"/>
                <w:sz w:val="22"/>
                <w:szCs w:val="22"/>
              </w:rPr>
            </w:pPr>
            <w:r>
              <w:rPr>
                <w:color w:val="000000"/>
                <w:sz w:val="22"/>
                <w:szCs w:val="22"/>
              </w:rPr>
              <w:t>7. Проведення навчання представників органів місцевого самоврядування з питань фізичної доступності і безбар’єрності</w:t>
            </w:r>
          </w:p>
        </w:tc>
        <w:tc>
          <w:tcPr>
            <w:tcW w:w="3240" w:type="dxa"/>
            <w:tcBorders/>
          </w:tcPr>
          <w:p>
            <w:pPr>
              <w:pStyle w:val="Normal"/>
              <w:rPr>
                <w:sz w:val="22"/>
                <w:szCs w:val="22"/>
              </w:rPr>
            </w:pPr>
            <w:r>
              <w:rPr>
                <w:sz w:val="22"/>
                <w:szCs w:val="22"/>
              </w:rPr>
              <w:t>1) забезпечення проведення інформаційно-просвітницьких заходів (форуми, тренінги, вебінари тощо) з питань створення безбар’єрного простору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rPr>
                <w:sz w:val="22"/>
                <w:szCs w:val="22"/>
              </w:rPr>
            </w:pPr>
            <w:r>
              <w:rPr>
                <w:sz w:val="22"/>
                <w:szCs w:val="22"/>
              </w:rPr>
              <w:t>забезпечено проведення не менше п’яти заходів щодо висвітлення питань створення безбар’єрного простору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2) забезпечення проведення навчання для працівників органів місцевого самоврядування з метою розвитку професійних компетентностей щодо написання грантових заявок для отримання фінансування з метою створення умов для надання публічних послуг громадянам (забезпечення фізичної безбар’єрності)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подання та оприлюднення щокварталу звіту про результати проведення навчання для працівників органів місцевого самоврядування</w:t>
            </w:r>
          </w:p>
        </w:tc>
      </w:tr>
      <w:tr>
        <w:trPr>
          <w:trHeight w:val="23" w:hRule="atLeast"/>
        </w:trPr>
        <w:tc>
          <w:tcPr>
            <w:tcW w:w="1800" w:type="dxa"/>
            <w:tcBorders/>
          </w:tcPr>
          <w:p>
            <w:pPr>
              <w:pStyle w:val="Normal"/>
              <w:widowControl w:val="false"/>
              <w:rPr>
                <w:sz w:val="22"/>
                <w:szCs w:val="22"/>
              </w:rPr>
            </w:pPr>
            <w:r>
              <w:rPr>
                <w:sz w:val="22"/>
                <w:szCs w:val="22"/>
              </w:rPr>
              <w:t>8. Розроблення та впровадження окремої програми з адаптації об’єктів  інфраструктури відповідно до вимог доступності</w:t>
            </w:r>
          </w:p>
        </w:tc>
        <w:tc>
          <w:tcPr>
            <w:tcW w:w="3240" w:type="dxa"/>
            <w:tcBorders/>
          </w:tcPr>
          <w:p>
            <w:pPr>
              <w:pStyle w:val="Normal"/>
              <w:rPr>
                <w:sz w:val="22"/>
                <w:szCs w:val="22"/>
              </w:rPr>
            </w:pPr>
            <w:r>
              <w:rPr>
                <w:sz w:val="22"/>
                <w:szCs w:val="22"/>
              </w:rPr>
              <w:t>1)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зокрема осіб з інвалідністю, в умовах воєнного чи надзвичайного стану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 xml:space="preserve">січень — червень </w:t>
              <w:br/>
              <w:t>2025 р.</w:t>
            </w:r>
          </w:p>
        </w:tc>
        <w:tc>
          <w:tcPr>
            <w:tcW w:w="2340" w:type="dxa"/>
            <w:tcBorders/>
          </w:tcPr>
          <w:p>
            <w:pPr>
              <w:pStyle w:val="Normal"/>
              <w:rPr>
                <w:sz w:val="8"/>
                <w:szCs w:val="8"/>
              </w:rPr>
            </w:pPr>
            <w:r>
              <w:rPr>
                <w:sz w:val="22"/>
                <w:szCs w:val="22"/>
              </w:rPr>
              <w:t>Управління з питань цивільного захисту Івано-Франківської облдержадміністрації</w:t>
            </w:r>
            <w:r>
              <w:rPr>
                <w:sz w:val="8"/>
                <w:szCs w:val="8"/>
              </w:rPr>
              <w:t xml:space="preserve"> </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та опубліковано результати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зокрема осіб з інвалідністю, в умовах воєнного чи надзвичайного стану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shd w:fill="FFFFFF" w:val="clear"/>
              <w:rPr>
                <w:sz w:val="22"/>
                <w:szCs w:val="22"/>
              </w:rPr>
            </w:pPr>
            <w:r>
              <w:rPr>
                <w:sz w:val="22"/>
                <w:szCs w:val="22"/>
              </w:rPr>
              <w:t>3) забезпечення проведення моніторингу стану облаштування споруд цивільного захисту засобами, що забезпечують їх доступність для маломобільних груп населення, зокрема осіб з інвалідністю, в умовах воєнного чи надзвичайного стану, та підготовка рекомендацій щодо облаштування</w:t>
            </w:r>
          </w:p>
        </w:tc>
        <w:tc>
          <w:tcPr>
            <w:tcW w:w="3540" w:type="dxa"/>
            <w:tcBorders/>
          </w:tcPr>
          <w:p>
            <w:pPr>
              <w:pStyle w:val="Normal"/>
              <w:shd w:fill="FFFFFF" w:val="clear"/>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8"/>
                <w:szCs w:val="8"/>
              </w:rPr>
            </w:pPr>
            <w:r>
              <w:rPr>
                <w:sz w:val="22"/>
                <w:szCs w:val="22"/>
              </w:rPr>
              <w:t>Управління з питань цивільного захисту Івано-Франківської облдержадміністрації</w:t>
            </w:r>
            <w:r>
              <w:rPr>
                <w:sz w:val="8"/>
                <w:szCs w:val="8"/>
              </w:rPr>
              <w:t xml:space="preserve"> </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оприлюднення щокварталу звіту про облаштування споруд цивільного захисту засобами, що забезпечують їх доступність для маломобільних груп населення, зокрема осіб з інвалідністю (з фотографіями), та підготовлено рекомендації щодо облаштування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аналізу та внесення у разі потреби до регіональних і місцевих програм цивільного захисту змін щодо забезпечення доступу маломобільних груп населення, зокрема осіб з інвалідністю, до об’єктів фонду захисних споруд цивільного захисту (забезпечення доступності об’єктів фонду захисних споруд цивільного захисту, доступного транспорту для евакуації до найближчого об’єкта фонду захисних споруд цивільного захисту, а також підготовка персоналу)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 xml:space="preserve">січень — червень </w:t>
              <w:br/>
              <w:t>2025 р.</w:t>
            </w:r>
          </w:p>
        </w:tc>
        <w:tc>
          <w:tcPr>
            <w:tcW w:w="2340" w:type="dxa"/>
            <w:tcBorders/>
          </w:tcPr>
          <w:p>
            <w:pPr>
              <w:pStyle w:val="Normal"/>
              <w:rPr>
                <w:sz w:val="8"/>
                <w:szCs w:val="8"/>
              </w:rPr>
            </w:pPr>
            <w:r>
              <w:rPr>
                <w:sz w:val="22"/>
                <w:szCs w:val="22"/>
              </w:rPr>
              <w:t>Управління з питань цивільного захисту Івано-Франківської облдержадміністрації</w:t>
            </w:r>
            <w:r>
              <w:rPr>
                <w:sz w:val="8"/>
                <w:szCs w:val="8"/>
              </w:rPr>
              <w:t xml:space="preserve"> </w:t>
            </w:r>
          </w:p>
          <w:p>
            <w:pPr>
              <w:pStyle w:val="Normal"/>
              <w:rPr>
                <w:sz w:val="22"/>
                <w:szCs w:val="22"/>
              </w:rPr>
            </w:pPr>
            <w:r>
              <w:rPr>
                <w:sz w:val="22"/>
                <w:szCs w:val="22"/>
              </w:rPr>
            </w:r>
          </w:p>
        </w:tc>
        <w:tc>
          <w:tcPr>
            <w:tcW w:w="2066" w:type="dxa"/>
            <w:tcBorders/>
          </w:tcPr>
          <w:p>
            <w:pPr>
              <w:pStyle w:val="Normal"/>
              <w:rPr>
                <w:sz w:val="22"/>
                <w:szCs w:val="22"/>
              </w:rPr>
            </w:pPr>
            <w:r>
              <w:rPr>
                <w:sz w:val="22"/>
                <w:szCs w:val="22"/>
              </w:rPr>
              <w:t>опубліковано звіт про результати проведення аналізу та внесено зміни до регіональних і місцевих програм цивільного захисту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27"/>
              <w:rPr>
                <w:sz w:val="22"/>
                <w:szCs w:val="22"/>
              </w:rPr>
            </w:pPr>
            <w:r>
              <w:rPr>
                <w:sz w:val="22"/>
                <w:szCs w:val="22"/>
              </w:rPr>
              <w:t>5) проведення інформаційних кампаній щодо об’єктів фонду захисних споруд цивільного захисту в населених пунктах, пунктів, обладнаних для перебування в них осіб з інвалідністю та інших маломобільних груп населення</w:t>
            </w:r>
          </w:p>
        </w:tc>
        <w:tc>
          <w:tcPr>
            <w:tcW w:w="3540" w:type="dxa"/>
            <w:tcBorders/>
          </w:tcPr>
          <w:p>
            <w:pPr>
              <w:pStyle w:val="Normal"/>
              <w:widowControl w:val="false"/>
              <w:snapToGrid w:val="false"/>
              <w:ind w:firstLine="27"/>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8"/>
                <w:szCs w:val="8"/>
              </w:rPr>
            </w:pPr>
            <w:r>
              <w:rPr>
                <w:sz w:val="22"/>
                <w:szCs w:val="22"/>
              </w:rPr>
              <w:t>Управління з питань цивільного захисту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widowControl w:val="false"/>
              <w:tabs>
                <w:tab w:val="clear" w:pos="708"/>
                <w:tab w:val="left" w:pos="1793" w:leader="none"/>
              </w:tabs>
              <w:rPr>
                <w:sz w:val="22"/>
                <w:szCs w:val="22"/>
              </w:rPr>
            </w:pPr>
            <w:r>
              <w:rPr>
                <w:sz w:val="22"/>
                <w:szCs w:val="22"/>
              </w:rPr>
              <w:t>забезпечено опублікування щокварталу звіту про проведення інформаційних кампаній з посиланнями на публікації та/або підтвердженнями повідомлень (фотографії, знімки екрана засобу телекомунікаційного зв’язку)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pPr>
            <w:r>
              <w:rPr>
                <w:sz w:val="22"/>
                <w:szCs w:val="22"/>
              </w:rPr>
              <w:t>6) забезпечення доступності головних входів і приміщення адміністративних будівель міністерств, інших центральних і місцевих органів виконавчої влади, органів місцевого самоврядування</w:t>
            </w:r>
            <w:r>
              <w:rPr>
                <w:b/>
                <w:sz w:val="22"/>
                <w:szCs w:val="22"/>
              </w:rPr>
              <w:t xml:space="preserve"> </w:t>
            </w:r>
            <w:r>
              <w:rPr>
                <w:sz w:val="22"/>
                <w:szCs w:val="22"/>
              </w:rPr>
              <w:t>та місцевих держадміністрацій, центрів надання адміністративних послуг для осіб з інвалідністю та інших маломобільних груп населення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highlight w:val="white"/>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 xml:space="preserve">забезпечено пристосування головних входів та приміщень не менше </w:t>
              <w:br/>
              <w:t>50 відсотків адміністративних будівель для осіб з інвалідністю та інших маломобільних груп населення</w:t>
            </w:r>
          </w:p>
          <w:p>
            <w:pPr>
              <w:pStyle w:val="Normal"/>
              <w:rPr>
                <w:sz w:val="22"/>
                <w:szCs w:val="22"/>
              </w:rPr>
            </w:pPr>
            <w:r>
              <w:rPr>
                <w:sz w:val="22"/>
                <w:szCs w:val="22"/>
              </w:rPr>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7) встановлення тактильних, візуальних та інших елементів доступності (відповідно до державних будівельних норм) для осіб з інвалідністю та інших маломобільних груп населення в адміністративних будівлях центральних органів виконавчої влади та місцевих держадміністрацій, центрів надання адміністративних послуг</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highlight w:val="white"/>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завершено виконання робіт та підготовлено звіт про результати виконання будівельних/</w:t>
              <w:br/>
              <w:t>ремонтних робіт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забезпечення доступності головних входів до офісних будівель та внутрішніх приміщень, зокрема переходів/коридорів, в яких є сходи, санітарно-гігієнічні кімнати, підприємств житлово-комунального господарства комунальної форми власності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pPr>
            <w:r>
              <w:rPr>
                <w:sz w:val="22"/>
                <w:szCs w:val="22"/>
                <w:highlight w:val="white"/>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завершено виконання робіт та підготовлено звіт про встановлення пандусів та поручнів, інших елементів забезпечення доступності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10) облаштування приміщень закладів соціального захисту населення відповідно до вимог щодо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22"/>
                <w:szCs w:val="22"/>
              </w:rPr>
            </w:pPr>
            <w:r>
              <w:rPr>
                <w:sz w:val="22"/>
                <w:szCs w:val="22"/>
              </w:rPr>
            </w:r>
          </w:p>
        </w:tc>
        <w:tc>
          <w:tcPr>
            <w:tcW w:w="2066" w:type="dxa"/>
            <w:tcBorders/>
          </w:tcPr>
          <w:p>
            <w:pPr>
              <w:pStyle w:val="Normal"/>
              <w:widowControl w:val="false"/>
              <w:rPr>
                <w:sz w:val="22"/>
                <w:szCs w:val="22"/>
              </w:rPr>
            </w:pPr>
            <w:r>
              <w:rPr>
                <w:sz w:val="22"/>
                <w:szCs w:val="22"/>
              </w:rPr>
              <w:t>завершено виконання робіт та підготовлено звіт про результати виконання будівельних/ ремонтних робіт з облаштування/</w:t>
              <w:br/>
              <w:t>модернізації закладів системи соціального захисту, що відповідають критеріям фізичної безбар’єрності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ind w:hanging="2"/>
              <w:rPr>
                <w:sz w:val="22"/>
                <w:szCs w:val="22"/>
              </w:rPr>
            </w:pPr>
            <w:r>
              <w:rPr>
                <w:sz w:val="22"/>
                <w:szCs w:val="22"/>
              </w:rPr>
              <w:t>11) забезпечення безперешкодного доступу до приміщень закладів культури відповідно до норм і стандартів доступності для осіб з інвалідністю та інших маломобільних груп населення</w:t>
            </w:r>
          </w:p>
        </w:tc>
        <w:tc>
          <w:tcPr>
            <w:tcW w:w="3540" w:type="dxa"/>
            <w:tcBorders/>
          </w:tcPr>
          <w:p>
            <w:pPr>
              <w:pStyle w:val="Normal"/>
              <w:snapToGrid w:val="false"/>
              <w:ind w:hanging="2"/>
              <w:rPr>
                <w:sz w:val="22"/>
                <w:szCs w:val="22"/>
              </w:rPr>
            </w:pPr>
            <w:r>
              <w:rPr>
                <w:sz w:val="22"/>
                <w:szCs w:val="22"/>
              </w:rPr>
            </w:r>
          </w:p>
        </w:tc>
        <w:tc>
          <w:tcPr>
            <w:tcW w:w="2040" w:type="dxa"/>
            <w:tcBorders/>
          </w:tcPr>
          <w:p>
            <w:pPr>
              <w:pStyle w:val="Normal"/>
              <w:ind w:hanging="2"/>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rPr>
                <w:sz w:val="22"/>
                <w:szCs w:val="22"/>
              </w:rPr>
            </w:pPr>
            <w:r>
              <w:rPr>
                <w:sz w:val="22"/>
                <w:szCs w:val="22"/>
              </w:rPr>
              <w:t>завершено виконання робіт та забезпечено підготовку щокварталу звіту про забезпечення безперешкодного доступу до приміщень закладів культури (з фотографіями і кількісними показниками)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12) забезпечення безперешкодного доступу до приміщень бібліотек та клубних закладів відповідно до норм і стандартів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rPr>
                <w:sz w:val="22"/>
                <w:szCs w:val="22"/>
              </w:rPr>
            </w:pPr>
            <w:r>
              <w:rPr>
                <w:sz w:val="22"/>
                <w:szCs w:val="22"/>
              </w:rPr>
              <w:t>завершено виконання робіт та забезпечено підготовку щокварталу звіту про результати забезпечення безперешкодного доступу до приміщень бібліотек та клубних закладів (з кількісними показниками та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13) створення інтерактивної карти доступності закладів культури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rPr>
                <w:sz w:val="22"/>
                <w:szCs w:val="22"/>
                <w:lang w:eastAsia="en-US"/>
              </w:rPr>
            </w:pPr>
            <w:r>
              <w:rPr>
                <w:sz w:val="22"/>
                <w:szCs w:val="22"/>
              </w:rPr>
              <w:t>забезпечено внесення не менше 90 відсотків закладів культури до інтерактивної карти доступності таких закладів для осіб з інвалідністю та інших маломобільних груп населення</w:t>
            </w:r>
          </w:p>
        </w:tc>
      </w:tr>
      <w:tr>
        <w:trPr>
          <w:trHeight w:val="23" w:hRule="atLeast"/>
        </w:trPr>
        <w:tc>
          <w:tcPr>
            <w:tcW w:w="1800" w:type="dxa"/>
            <w:tcBorders/>
          </w:tcPr>
          <w:p>
            <w:pPr>
              <w:pStyle w:val="Normal"/>
              <w:widowControl w:val="false"/>
              <w:snapToGrid w:val="false"/>
              <w:rPr>
                <w:sz w:val="22"/>
                <w:szCs w:val="22"/>
                <w:lang w:eastAsia="en-US"/>
              </w:rPr>
            </w:pPr>
            <w:r>
              <w:rPr>
                <w:sz w:val="22"/>
                <w:szCs w:val="22"/>
                <w:lang w:eastAsia="en-US"/>
              </w:rPr>
            </w:r>
          </w:p>
        </w:tc>
        <w:tc>
          <w:tcPr>
            <w:tcW w:w="3240" w:type="dxa"/>
            <w:tcBorders/>
          </w:tcPr>
          <w:p>
            <w:pPr>
              <w:pStyle w:val="Normal"/>
              <w:rPr>
                <w:sz w:val="22"/>
                <w:szCs w:val="22"/>
              </w:rPr>
            </w:pPr>
            <w:r>
              <w:rPr>
                <w:sz w:val="22"/>
                <w:szCs w:val="22"/>
              </w:rPr>
              <w:t>14) забезпечення поширення інтерактивної карти доступності закладів культури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rPr>
                <w:sz w:val="22"/>
                <w:szCs w:val="22"/>
              </w:rPr>
            </w:pPr>
            <w:r>
              <w:rPr>
                <w:sz w:val="22"/>
                <w:szCs w:val="22"/>
              </w:rPr>
              <w:t xml:space="preserve">опубліковано звіт про результати здійснення заходів з поширення інтерактивної карти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15) забезпечення доступності мистецьких шкіл для осіб з інвалідністю та інших маломобільних груп населення </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rPr>
                <w:sz w:val="22"/>
                <w:szCs w:val="22"/>
              </w:rPr>
            </w:pPr>
            <w:r>
              <w:rPr>
                <w:sz w:val="22"/>
                <w:szCs w:val="22"/>
              </w:rPr>
              <w:t>забезпечено доступність не менше 90 відсотків мистецьких шкіл для осіб з інвалідністю та інших маломобільних груп населення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16) забезпечення доступності молодіжних центрів або їх об’єктів фізичного оточення для осіб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widowControl w:val="false"/>
              <w:rPr>
                <w:sz w:val="22"/>
                <w:szCs w:val="22"/>
              </w:rPr>
            </w:pPr>
            <w:r>
              <w:rPr>
                <w:sz w:val="22"/>
                <w:szCs w:val="22"/>
              </w:rPr>
              <w:t>забезпечено доступність не менше 90 відсотків молодіжних центрів або їх об’єктів фізичного оточення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18) проведення моніторингу та ведення обліку будівель, призначених для проживання (тимчасового проживання) маломобільних груп населення та евакуйованих осіб згідно з відповідними рекомендаціями для органів місцевого самоврядування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widowControl w:val="false"/>
              <w:rPr>
                <w:sz w:val="22"/>
                <w:szCs w:val="22"/>
              </w:rPr>
            </w:pPr>
            <w:r>
              <w:rPr>
                <w:sz w:val="22"/>
                <w:szCs w:val="22"/>
              </w:rPr>
              <w:t>забезпечено опублікування щокварталу звіту щодо зведених модульних будинків та/або облаштованого тимчасового житла для маломобільних груп населення, житло яких зруйноване або пошкоджене (непридатне для проживання) внаслідок збройної агресії проти України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ind w:hanging="2"/>
              <w:rPr>
                <w:sz w:val="22"/>
                <w:szCs w:val="22"/>
              </w:rPr>
            </w:pPr>
            <w:r>
              <w:rPr>
                <w:sz w:val="22"/>
                <w:szCs w:val="22"/>
              </w:rPr>
              <w:t>19) висвітлення інформації щодо закладів тимчасового розміщення, призначених для проживання (тимчасового проживання) осіб з інвалідністю та інших маломобільних груп населення</w:t>
            </w:r>
          </w:p>
        </w:tc>
        <w:tc>
          <w:tcPr>
            <w:tcW w:w="3540" w:type="dxa"/>
            <w:tcBorders/>
          </w:tcPr>
          <w:p>
            <w:pPr>
              <w:pStyle w:val="Normal"/>
              <w:snapToGrid w:val="false"/>
              <w:ind w:hanging="2"/>
              <w:rPr>
                <w:sz w:val="22"/>
                <w:szCs w:val="22"/>
              </w:rPr>
            </w:pPr>
            <w:r>
              <w:rPr>
                <w:sz w:val="22"/>
                <w:szCs w:val="22"/>
              </w:rPr>
            </w:r>
          </w:p>
        </w:tc>
        <w:tc>
          <w:tcPr>
            <w:tcW w:w="2040" w:type="dxa"/>
            <w:tcBorders/>
          </w:tcPr>
          <w:p>
            <w:pPr>
              <w:pStyle w:val="Normal"/>
              <w:ind w:hanging="2"/>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rPr>
                <w:sz w:val="22"/>
                <w:szCs w:val="22"/>
              </w:rPr>
            </w:pPr>
            <w:r>
              <w:rPr>
                <w:sz w:val="22"/>
                <w:szCs w:val="22"/>
              </w:rPr>
              <w:t>забезпечено опублікування щокварталу звіту щодо доступних закладів, призначених для проживання (тимчасового проживання) для осіб з інвалідністю та інших маломобільних груп населення, із зазначенням комунікаційних заходів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20) облаштування у закладах освіти всіх рівнів споруд цивільного захисту з метою забезпечення їх доступності для осіб з інвалідністю та інших маломобільних груп населення в умовах воєнного чи надзвичайного стану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8"/>
                <w:szCs w:val="8"/>
              </w:rPr>
            </w:pPr>
            <w:r>
              <w:rPr>
                <w:sz w:val="22"/>
                <w:szCs w:val="22"/>
              </w:rPr>
              <w:t>Управління з питань цивільного захисту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забезпечено опублікування звіту щодо облаштування у закладах освіти всіх рівнів споруд цивільного захисту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21) створення безпечних умов для маломобільних груп населення у закладах охорони здоров’я, зокрема шляхом облаштування доступних для таких груп захисних споруд цивільного захисту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8"/>
                <w:szCs w:val="8"/>
              </w:rPr>
            </w:pPr>
            <w:r>
              <w:rPr>
                <w:sz w:val="22"/>
                <w:szCs w:val="22"/>
              </w:rPr>
              <w:t>Департамент охорони здоров’я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підготовлено аналітичну довідку про результати облаштування у закладах охорони здоров’я захисних споруд цивільного захисту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22) забезпечення можливості безбар’єрної участі громадян у рекреаційно-туристичній діяльності, доступу до екскурсійних послуг, природних об’єктів та культурних цінностей</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b/>
                <w:b/>
                <w:sz w:val="22"/>
                <w:szCs w:val="22"/>
              </w:rPr>
            </w:pPr>
            <w:r>
              <w:rPr>
                <w:rStyle w:val="StrongEmphasis"/>
                <w:b w:val="false"/>
                <w:color w:val="000000"/>
                <w:sz w:val="22"/>
                <w:szCs w:val="22"/>
                <w:shd w:fill="FFFFFF" w:val="clear"/>
              </w:rPr>
              <w:t>Департамент міжнародного співробітництва та євроінтеграції громад </w:t>
            </w:r>
          </w:p>
          <w:p>
            <w:pPr>
              <w:pStyle w:val="Normal"/>
              <w:rPr>
                <w:sz w:val="22"/>
                <w:szCs w:val="22"/>
              </w:rPr>
            </w:pP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забезпечено опублікування щороку звіту про виконання будівельних/ремонтних робіт і облаштування вхідних груп, будівель та інших об’єктів інфраструктури, які використовуються установами природно-заповідного фонду для провадження рекреаційної діяльності, а також іншими землевласниками (землекористувачами) та суб’єктами рекреаційної діяльності, які провадять рекреаційну діяльність у межах територій та об’єктів природно-заповідного фонду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23) проведення інформаційної кампанії щодо фізичної доступності рекреаційно-туристичних і природних об’єктів, а також екскурсійних послуг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b/>
                <w:b/>
                <w:sz w:val="22"/>
                <w:szCs w:val="22"/>
              </w:rPr>
            </w:pPr>
            <w:r>
              <w:rPr>
                <w:rStyle w:val="StrongEmphasis"/>
                <w:b w:val="false"/>
                <w:color w:val="000000"/>
                <w:sz w:val="22"/>
                <w:szCs w:val="22"/>
                <w:shd w:fill="FFFFFF" w:val="clear"/>
              </w:rPr>
              <w:t>Департамент міжнародного співробітництва та євроінтеграції громад </w:t>
            </w:r>
          </w:p>
          <w:p>
            <w:pPr>
              <w:pStyle w:val="Normal"/>
              <w:rPr>
                <w:sz w:val="22"/>
                <w:szCs w:val="22"/>
              </w:rPr>
            </w:pP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опубліковано звіт про результати проведення інформаційної кампанії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25) оприлюднення на офіційному веб-сайті (іншому офіційному онлайн-ресурсі) інформації про здійснення заходів з реалізації Національної стратегії із створення безбар’єрного простору в Україні на період до 2030 року, схваленої розпорядженням Кабінету Міністрів України від </w:t>
              <w:br/>
              <w:t xml:space="preserve">14 квітня 2021 р. № 366 (далі — Національна стратегія), в частині фізичної доступності (з дотриманням безпекових обмежень і нерозголошенням інформації, що може створювати загрозу для життя і здоров’я людей)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опубліковано на офіційному веб-сайті (іншому офіційному онлайн-ресурсі) інформацію про здійснення заходів з реалізації Національної стратегії в частині фізичної доступності</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29) забезпечення дотримання вимог до безбар’єрності приміщень закладів охорони здоров’я, зокрема санітарних кімнат, під час виконання поточних ремонтних робіт</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8"/>
                <w:szCs w:val="8"/>
              </w:rPr>
            </w:pPr>
            <w:r>
              <w:rPr>
                <w:sz w:val="22"/>
                <w:szCs w:val="22"/>
              </w:rPr>
              <w:t>Департамент охорони здоров’я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опубліковано звіт про результати виконання робіт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30) облаштування приміщень закладів дошкільної і загальної середньої освіти відповідно до вимог щодо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опубліковано звіт про стан облаштування приміщень закладів дошкільної і загальної середньої освіти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31) створення інтерактивної карти доступності закладів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tc>
        <w:tc>
          <w:tcPr>
            <w:tcW w:w="2066" w:type="dxa"/>
            <w:tcBorders/>
          </w:tcPr>
          <w:p>
            <w:pPr>
              <w:pStyle w:val="Normal"/>
              <w:rPr>
                <w:sz w:val="22"/>
                <w:szCs w:val="22"/>
              </w:rPr>
            </w:pPr>
            <w:r>
              <w:rPr>
                <w:sz w:val="22"/>
                <w:szCs w:val="22"/>
              </w:rPr>
              <w:t>створено інтерактивну карту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32) забезпечення поширення інтерактивної карти доступності закладів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оприлюднено інтерактивну карту доступності закладів освіти на офіційних веб-сайтах МОН, інших центральних органів виконавчої влади та органів місцевого самоврядування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33) проведення моніторингу дитячих майданчиків у частині інклюзивності та надання рекомендацій щодо їх облаштування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опубліковано звіт про результати проведення моніторингу</w:t>
            </w:r>
          </w:p>
        </w:tc>
      </w:tr>
      <w:tr>
        <w:trPr>
          <w:trHeight w:val="23" w:hRule="atLeast"/>
        </w:trPr>
        <w:tc>
          <w:tcPr>
            <w:tcW w:w="1800" w:type="dxa"/>
            <w:tcBorders/>
          </w:tcPr>
          <w:p>
            <w:pPr>
              <w:pStyle w:val="Normal"/>
              <w:widowControl w:val="false"/>
              <w:rPr>
                <w:sz w:val="22"/>
                <w:szCs w:val="22"/>
              </w:rPr>
            </w:pPr>
            <w:r>
              <w:rPr>
                <w:sz w:val="22"/>
                <w:szCs w:val="22"/>
              </w:rPr>
              <w:t>11. Забезпечення функціонування дієвого механізму проведення моніторингу і оцінки адаптації просторів</w:t>
            </w:r>
          </w:p>
        </w:tc>
        <w:tc>
          <w:tcPr>
            <w:tcW w:w="3240" w:type="dxa"/>
            <w:tcBorders/>
          </w:tcPr>
          <w:p>
            <w:pPr>
              <w:pStyle w:val="Normal"/>
              <w:widowControl w:val="false"/>
              <w:rPr>
                <w:sz w:val="22"/>
                <w:szCs w:val="22"/>
              </w:rPr>
            </w:pPr>
            <w:r>
              <w:rPr>
                <w:sz w:val="22"/>
                <w:szCs w:val="22"/>
              </w:rPr>
              <w:t>1) забезпечення проведення щороку моніторингу та оцінки ступеня безбар’єрності об’єктів фізичного оточення і послуг для осіб з інвалідністю, осіб з інвалідністю внаслідок війни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оприлюднено на офіційному веб-сайті Мінрозвитку звіт про результати моніторингу та оцінки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2) відображення результатів моніторингу та оцінки ступеня безбар’єрності об’єктів фізичного оточення на карті та її розміщення на офіційних веб-сайтах органів державної влади та органів місцевого самоврядування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опубліковано карту з результатами моніторингу та оцінки на офіційних веб-сайтах органів державної влади та органів місцевого самоврядування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проведення щокварталу моніторингу стану облаштування приміщень центрів надання адміністративних послуг з урахуванням потреб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pPr>
            <w:r>
              <w:rPr>
                <w:sz w:val="22"/>
                <w:szCs w:val="22"/>
                <w:highlight w:val="white"/>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tabs>
                <w:tab w:val="clear" w:pos="708"/>
                <w:tab w:val="left" w:pos="1317" w:leader="none"/>
              </w:tabs>
              <w:rPr>
                <w:sz w:val="22"/>
                <w:szCs w:val="22"/>
              </w:rPr>
            </w:pPr>
            <w:r>
              <w:rPr>
                <w:sz w:val="22"/>
                <w:szCs w:val="22"/>
              </w:rPr>
            </w:r>
          </w:p>
        </w:tc>
        <w:tc>
          <w:tcPr>
            <w:tcW w:w="2066" w:type="dxa"/>
            <w:tcBorders/>
          </w:tcPr>
          <w:p>
            <w:pPr>
              <w:pStyle w:val="Normal"/>
              <w:rPr>
                <w:sz w:val="22"/>
                <w:szCs w:val="22"/>
              </w:rPr>
            </w:pPr>
            <w:r>
              <w:rPr>
                <w:sz w:val="22"/>
                <w:szCs w:val="22"/>
              </w:rPr>
              <w:t>забезпечено опублікування щокварталу звіту про результати моніторингу на Національній веб-платформі центрів надання адміністративних послуг (Платформа Центрів Дія)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5) оприлюднення на Національній веб-платформі центрів надання адміністративних послуг (Платформа Центрів Дія) та на офіційних веб-сайтах або спеціалізованих веб-сторінках центрів надання адміністративних послуг, офіційних веб-сайтах органів, що утворили центри, інформації щодо стану доступності та адрес центрів надання адміністративних послуг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sz w:val="22"/>
                <w:szCs w:val="22"/>
                <w:highlight w:val="white"/>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tabs>
                <w:tab w:val="clear" w:pos="708"/>
                <w:tab w:val="left" w:pos="1317" w:leader="none"/>
              </w:tabs>
              <w:rPr>
                <w:sz w:val="22"/>
                <w:szCs w:val="22"/>
              </w:rPr>
            </w:pPr>
            <w:r>
              <w:rPr>
                <w:sz w:val="22"/>
                <w:szCs w:val="22"/>
              </w:rPr>
            </w:r>
          </w:p>
        </w:tc>
        <w:tc>
          <w:tcPr>
            <w:tcW w:w="2066" w:type="dxa"/>
            <w:tcBorders/>
          </w:tcPr>
          <w:p>
            <w:pPr>
              <w:pStyle w:val="Normal"/>
              <w:rPr>
                <w:sz w:val="22"/>
                <w:szCs w:val="22"/>
              </w:rPr>
            </w:pPr>
            <w:r>
              <w:rPr>
                <w:sz w:val="22"/>
                <w:szCs w:val="22"/>
              </w:rPr>
              <w:t>оприлюднено інформацію щодо стану доступності та адрес центрів надання адміністративних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проведення оцінки доступності та облаштування закладів соціального захисту населення відповідно до вимог щодо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опублікування щороку звіту про результати проведення оцінки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7) проведення за участю представників профільних громадських організацій моніторингу/аудиту стану доступності територій, будівель i приміщень закладів охорони здоров’я, в яких надаються послуги з екстреної медичної допомоги, амбулаторного лікування, первинної та амбулаторно-поліклінічної медичної допомоги, які провадять господарську діяльність з медичної практики, з урахуванням вимог постанови Кабінету Міністрів України від 26 травня 2021 р. № 537 “Про затвердження Порядку проведення моніторингу та оцінки ступеня безбар’єрності об’єктів фізичного оточення і послуг для осіб з інвалідністю”</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опубліковано звіт про результати проведення моніторингу/аудиту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проведення аналізу доступності будівель і приміщень закладів освіти всіх рівнів відповідно до вимог щодо доступності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rPr>
                <w:sz w:val="22"/>
                <w:szCs w:val="22"/>
              </w:rPr>
            </w:pPr>
            <w:r>
              <w:rPr>
                <w:sz w:val="22"/>
                <w:szCs w:val="22"/>
              </w:rPr>
              <w:t>опубліковано звіт про результати проведення аналізу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9) проведення аналізу інформації щодо кількості об’єктів молодіжної інфраструктури, які є доступними для всіх категорій молоді, зокрема осіб з інвалідністю</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widowControl w:val="false"/>
              <w:rPr>
                <w:sz w:val="22"/>
                <w:szCs w:val="22"/>
              </w:rPr>
            </w:pPr>
            <w:r>
              <w:rPr>
                <w:sz w:val="22"/>
                <w:szCs w:val="22"/>
              </w:rPr>
              <w:t>оприлюднено на офіційному веб-сайті Мінмолодьспорту інформацію щодо кількості об’єктів молодіжної інфраструктури, які є доступними для всіх категорій молоді, зокрема осіб з інвалідністю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hanging="7"/>
              <w:rPr>
                <w:sz w:val="22"/>
                <w:szCs w:val="22"/>
              </w:rPr>
            </w:pPr>
            <w:r>
              <w:rPr>
                <w:sz w:val="22"/>
                <w:szCs w:val="22"/>
              </w:rPr>
              <w:t>10) проведення в електронній формі інвентаризації та паспортизації спортивних споруд для визначення їх стану, рівня доступності для осіб з інвалідністю та інших маломобільних груп населення, зокрема шляхом внесення даних про них до інформаційно-комунікаційної системи “Електронний реєстр спортивних споруд України”</w:t>
            </w:r>
          </w:p>
        </w:tc>
        <w:tc>
          <w:tcPr>
            <w:tcW w:w="3540" w:type="dxa"/>
            <w:tcBorders/>
          </w:tcPr>
          <w:p>
            <w:pPr>
              <w:pStyle w:val="Normal"/>
              <w:widowControl w:val="false"/>
              <w:snapToGrid w:val="false"/>
              <w:ind w:hanging="7"/>
              <w:rPr>
                <w:sz w:val="22"/>
                <w:szCs w:val="22"/>
              </w:rPr>
            </w:pPr>
            <w:r>
              <w:rPr>
                <w:sz w:val="22"/>
                <w:szCs w:val="22"/>
              </w:rPr>
            </w:r>
          </w:p>
        </w:tc>
        <w:tc>
          <w:tcPr>
            <w:tcW w:w="2040" w:type="dxa"/>
            <w:tcBorders/>
          </w:tcPr>
          <w:p>
            <w:pPr>
              <w:pStyle w:val="Normal"/>
              <w:widowControl w:val="false"/>
              <w:rPr>
                <w:sz w:val="22"/>
                <w:szCs w:val="22"/>
              </w:rPr>
            </w:pPr>
            <w:r>
              <w:rPr>
                <w:sz w:val="22"/>
                <w:szCs w:val="22"/>
              </w:rPr>
              <w:t xml:space="preserve">січень — червень </w:t>
              <w:br/>
              <w:t>2025 р.</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widowControl w:val="false"/>
              <w:rPr>
                <w:sz w:val="22"/>
                <w:szCs w:val="22"/>
              </w:rPr>
            </w:pPr>
            <w:r>
              <w:rPr>
                <w:sz w:val="22"/>
                <w:szCs w:val="22"/>
              </w:rPr>
              <w:t>сформовано звіт за допомогою інформаційно-комунікаційної системи “Електронний реєстр спортивних споруд України”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12) проведення моніторингу закладів культури та обʼєктів культурної інфраструктури щодо безбар’єрного доступу</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tc>
        <w:tc>
          <w:tcPr>
            <w:tcW w:w="2066" w:type="dxa"/>
            <w:tcBorders/>
          </w:tcPr>
          <w:p>
            <w:pPr>
              <w:pStyle w:val="Normal"/>
              <w:rPr>
                <w:sz w:val="22"/>
                <w:szCs w:val="22"/>
              </w:rPr>
            </w:pPr>
            <w:r>
              <w:rPr>
                <w:sz w:val="22"/>
                <w:szCs w:val="22"/>
              </w:rPr>
              <w:t>опубліковано звіт про результати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13) проведення з органами місцевого самоврядування консультаційних заходів щодо співпраці з готелями та іншими об’єктами розміщення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 xml:space="preserve">січень — червень </w:t>
              <w:br/>
              <w:t>2025 р.</w:t>
            </w:r>
          </w:p>
        </w:tc>
        <w:tc>
          <w:tcPr>
            <w:tcW w:w="2340" w:type="dxa"/>
            <w:tcBorders/>
          </w:tcPr>
          <w:p>
            <w:pPr>
              <w:pStyle w:val="Normal"/>
              <w:rPr/>
            </w:pPr>
            <w:r>
              <w:rPr>
                <w:sz w:val="22"/>
                <w:szCs w:val="22"/>
                <w:highlight w:val="white"/>
              </w:rPr>
              <w:t>Департамент міжнародного співробітництва та євроінтеграції громад</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опубліковано інформацію про проведення заходів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14) проведення збору, систематизації та аналізу інформації про стан фізичної доступності об’єктів туристичної інфраструктури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pPr>
            <w:r>
              <w:rPr>
                <w:sz w:val="22"/>
                <w:szCs w:val="22"/>
                <w:shd w:fill="FFFFFF" w:val="clear"/>
              </w:rPr>
              <w:t xml:space="preserve">Департамент міжнародного співробітництва та євроінтеграції громад </w:t>
            </w:r>
            <w:r>
              <w:rPr>
                <w:sz w:val="22"/>
                <w:szCs w:val="22"/>
              </w:rPr>
              <w:t>Івано-Франківської облдержадміністрації</w:t>
            </w:r>
          </w:p>
          <w:p>
            <w:pPr>
              <w:pStyle w:val="Normal"/>
              <w:ind w:hanging="2"/>
              <w:rPr>
                <w:sz w:val="22"/>
                <w:szCs w:val="22"/>
              </w:rPr>
            </w:pPr>
            <w:r>
              <w:rPr>
                <w:sz w:val="22"/>
                <w:szCs w:val="22"/>
              </w:rPr>
            </w:r>
          </w:p>
        </w:tc>
        <w:tc>
          <w:tcPr>
            <w:tcW w:w="2066" w:type="dxa"/>
            <w:tcBorders/>
          </w:tcPr>
          <w:p>
            <w:pPr>
              <w:pStyle w:val="Normal"/>
              <w:widowControl w:val="false"/>
              <w:rPr>
                <w:sz w:val="22"/>
                <w:szCs w:val="22"/>
              </w:rPr>
            </w:pPr>
            <w:r>
              <w:rPr>
                <w:sz w:val="22"/>
                <w:szCs w:val="22"/>
              </w:rPr>
              <w:t>забезпечено опублікування щороку звіту про результати збору та аналізу інформації про стан  фізичної доступності  об’єктів туристичної  інфраструктури з посиланням на офіційні онлайн-ресурси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16) оприлюднення на офіційному веб-сайті МОН звіту про результати моніторингу стану доступності закладів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опубліковано звіт на офіційному веб-сайті МОН</w:t>
            </w:r>
          </w:p>
        </w:tc>
      </w:tr>
      <w:tr>
        <w:trPr>
          <w:trHeight w:val="23" w:hRule="atLeast"/>
        </w:trPr>
        <w:tc>
          <w:tcPr>
            <w:tcW w:w="1800" w:type="dxa"/>
            <w:tcBorders/>
          </w:tcPr>
          <w:p>
            <w:pPr>
              <w:pStyle w:val="Normal"/>
              <w:widowControl w:val="false"/>
              <w:snapToGrid w:val="false"/>
              <w:spacing w:lineRule="auto" w:line="228" w:before="120" w:after="0"/>
              <w:ind w:start="-57" w:hanging="0"/>
              <w:rPr>
                <w:sz w:val="22"/>
                <w:szCs w:val="22"/>
              </w:rPr>
            </w:pPr>
            <w:r>
              <w:rPr>
                <w:sz w:val="22"/>
                <w:szCs w:val="22"/>
              </w:rPr>
            </w:r>
          </w:p>
        </w:tc>
        <w:tc>
          <w:tcPr>
            <w:tcW w:w="3240" w:type="dxa"/>
            <w:tcBorders/>
          </w:tcPr>
          <w:p>
            <w:pPr>
              <w:pStyle w:val="Normal"/>
              <w:spacing w:lineRule="auto" w:line="228" w:before="120" w:after="0"/>
              <w:rPr>
                <w:sz w:val="22"/>
                <w:szCs w:val="22"/>
              </w:rPr>
            </w:pPr>
            <w:r>
              <w:rPr>
                <w:sz w:val="22"/>
                <w:szCs w:val="22"/>
              </w:rPr>
              <w:t>17) проведення оцінки безбар’єрності прилеглої території закладів освіти усіх рівнів, де навчаються діти з особливими освітніми потребами, особи з інвалідністю та інші маломобільні групи населення</w:t>
            </w:r>
          </w:p>
        </w:tc>
        <w:tc>
          <w:tcPr>
            <w:tcW w:w="3540" w:type="dxa"/>
            <w:tcBorders/>
          </w:tcPr>
          <w:p>
            <w:pPr>
              <w:pStyle w:val="Normal"/>
              <w:snapToGrid w:val="false"/>
              <w:spacing w:lineRule="auto" w:line="228" w:before="120" w:after="0"/>
              <w:rPr>
                <w:sz w:val="22"/>
                <w:szCs w:val="22"/>
              </w:rPr>
            </w:pPr>
            <w:r>
              <w:rPr>
                <w:sz w:val="22"/>
                <w:szCs w:val="22"/>
              </w:rPr>
            </w:r>
          </w:p>
        </w:tc>
        <w:tc>
          <w:tcPr>
            <w:tcW w:w="2040" w:type="dxa"/>
            <w:tcBorders/>
          </w:tcPr>
          <w:p>
            <w:pPr>
              <w:pStyle w:val="Normal"/>
              <w:widowControl w:val="false"/>
              <w:spacing w:lineRule="auto" w:line="228" w:before="120" w:after="0"/>
              <w:ind w:start="-57" w:end="-108" w:hanging="0"/>
              <w:rPr>
                <w:sz w:val="22"/>
                <w:szCs w:val="22"/>
              </w:rPr>
            </w:pPr>
            <w:r>
              <w:rPr>
                <w:sz w:val="22"/>
                <w:szCs w:val="22"/>
              </w:rPr>
              <w:t>2025—</w:t>
              <w:br/>
              <w:t>2026 роки</w:t>
            </w:r>
          </w:p>
        </w:tc>
        <w:tc>
          <w:tcPr>
            <w:tcW w:w="2340" w:type="dxa"/>
            <w:tcBorders/>
          </w:tcPr>
          <w:p>
            <w:pPr>
              <w:pStyle w:val="Normal"/>
              <w:rPr>
                <w:sz w:val="8"/>
                <w:szCs w:val="8"/>
              </w:rPr>
            </w:pPr>
            <w:r>
              <w:rPr>
                <w:sz w:val="22"/>
                <w:szCs w:val="22"/>
              </w:rPr>
              <w:t>Департамент освіти і науки Івано-Франківської облдержадміністрації</w:t>
            </w:r>
            <w:r>
              <w:rPr>
                <w:sz w:val="8"/>
                <w:szCs w:val="8"/>
              </w:rPr>
              <w:t xml:space="preserve"> </w:t>
            </w:r>
          </w:p>
          <w:p>
            <w:pPr>
              <w:pStyle w:val="Normal"/>
              <w:widowControl w:val="false"/>
              <w:rPr>
                <w:sz w:val="22"/>
                <w:szCs w:val="22"/>
              </w:rPr>
            </w:pPr>
            <w:r>
              <w:rPr>
                <w:sz w:val="22"/>
                <w:szCs w:val="22"/>
              </w:rPr>
            </w:r>
          </w:p>
        </w:tc>
        <w:tc>
          <w:tcPr>
            <w:tcW w:w="2066" w:type="dxa"/>
            <w:tcBorders/>
          </w:tcPr>
          <w:p>
            <w:pPr>
              <w:pStyle w:val="Normal"/>
              <w:spacing w:lineRule="auto" w:line="228" w:before="120" w:after="0"/>
              <w:ind w:end="-107" w:hanging="0"/>
              <w:rPr>
                <w:sz w:val="22"/>
                <w:szCs w:val="22"/>
              </w:rPr>
            </w:pPr>
            <w:r>
              <w:rPr>
                <w:sz w:val="22"/>
                <w:szCs w:val="22"/>
              </w:rPr>
              <w:t>опубліковано звіт про результати проведення оцінки</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“Транспорт та транспортна інфраструктура є фізично доступною”</w:t>
            </w:r>
          </w:p>
        </w:tc>
      </w:tr>
      <w:tr>
        <w:trPr>
          <w:trHeight w:val="5204" w:hRule="atLeast"/>
        </w:trPr>
        <w:tc>
          <w:tcPr>
            <w:tcW w:w="1800" w:type="dxa"/>
            <w:tcBorders/>
          </w:tcPr>
          <w:p>
            <w:pPr>
              <w:pStyle w:val="Normal"/>
              <w:widowControl w:val="false"/>
              <w:rPr>
                <w:sz w:val="22"/>
                <w:szCs w:val="22"/>
              </w:rPr>
            </w:pPr>
            <w:r>
              <w:rPr>
                <w:sz w:val="22"/>
                <w:szCs w:val="22"/>
              </w:rPr>
              <w:t>13. 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 а також механізмів проведення моніторингу і оцінки транспортної інфраструктури</w:t>
            </w:r>
          </w:p>
        </w:tc>
        <w:tc>
          <w:tcPr>
            <w:tcW w:w="3240" w:type="dxa"/>
            <w:tcBorders/>
          </w:tcPr>
          <w:p>
            <w:pPr>
              <w:pStyle w:val="Normal"/>
              <w:widowControl w:val="false"/>
              <w:rPr>
                <w:sz w:val="22"/>
                <w:szCs w:val="22"/>
              </w:rPr>
            </w:pPr>
            <w:r>
              <w:rPr>
                <w:sz w:val="22"/>
                <w:szCs w:val="22"/>
              </w:rPr>
              <w:t>3) проведення моніторингу безбар’єрності транспорту (за видами транспорту)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забезпечено опублікування щопівроку звіту про результати проведення моніторингу безбар’єрності транспорту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оприлюднення щопівроку результатів проведення моніторингу стану безбар’єрності транспорту та об’єктів транспортної інфраструктури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оприлюднено звіт про результати проведення моніторингу з посиланням на офіційні веб-сайти відповідальних органів та організацій</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7) підвищення рівня обізнаності державних службовців, посадових осіб місцевого самоврядування та працівників транспортної інфраструктури щодо прав осіб з інвалідністю, універсального дизайну і доступності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щокварталу звіту щодо результатів проведення заходів із зазначенням кількості осіб, які залучені до підвищення рівня обізнаності щодо прав осіб з інвалідністю, універсального дизайну і доступності</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8) проведення щопівроку моніторингу відповідності автобусів вимогам, визначеним наказом Мінрозвитку від </w:t>
              <w:br/>
              <w:t>24 липня 2024 р. № 688, під час проведення конкурсів  на пасажирські перевезення з урахуванням положень статті 7 Закону України “Про автомобільний транспорт”</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опубліковано звіт щодо результатів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9) здійснення під час проведення конкурсного відбору перевізників контролю і моніторингу дотримання вимоги щодо пристосування транспортних засобів для перевезення осіб з інвалідністю та інших маломобільних груп населення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забезпечено опублікування щопівроку звіту про результати здійснення контролю і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10) запровадження контролю за пристосуванням транспортних засобів перевізників — переможців конкурсного відбору для здійснення пасажирських перевезень, зокрема осіб з інвалідністю та інших маломобільних груп населення, протягом визначеного умовами конкурсного відбору строку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оприлюднено звіт про здійснення контролю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11) організація та проведення навчання персоналу, задіяного в перевезенні пасажирів, щодо організації та забезпечення фізичного супроводу і надання допомоги особам з інвалідністю згідно з методичними рекомендаціями для працівників транспортно-дорожньої інфраструктури, розміщеними на офіційному веб-сайті Мінрозвитку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widowControl w:val="false"/>
              <w:rPr>
                <w:sz w:val="22"/>
                <w:szCs w:val="22"/>
                <w:highlight w:val="white"/>
              </w:rPr>
            </w:pPr>
            <w:r>
              <w:rPr>
                <w:sz w:val="22"/>
                <w:szCs w:val="22"/>
                <w:shd w:fill="FFFFFF" w:val="clear"/>
              </w:rPr>
              <w:t>Івано-Франківський регіональний центр підвищення кваліфікації</w:t>
            </w:r>
          </w:p>
          <w:p>
            <w:pPr>
              <w:pStyle w:val="Normal"/>
              <w:widowControl w:val="false"/>
              <w:rPr>
                <w:sz w:val="8"/>
                <w:szCs w:val="8"/>
                <w:highlight w:val="white"/>
              </w:rPr>
            </w:pPr>
            <w:r>
              <w:rPr>
                <w:sz w:val="8"/>
                <w:szCs w:val="8"/>
                <w:shd w:fill="FFFFFF" w:val="clear"/>
              </w:rPr>
            </w:r>
          </w:p>
          <w:p>
            <w:pPr>
              <w:pStyle w:val="Normal"/>
              <w:widowControl w:val="false"/>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щокварталу звіту про кількість персоналу, задіяного в перевезенні пасажирів, який пройшов навчання щодо організації та забезпечення фізичного супроводу і надання допомоги особам з інвалідністю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12) забезпечення інформування громадськості та проведення роз’яснювальної роботи з організації та забезпечення фізичного супроводу і надання допомоги особам з інвалідністю</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Франківської облдержадміністрації</w:t>
            </w:r>
          </w:p>
        </w:tc>
        <w:tc>
          <w:tcPr>
            <w:tcW w:w="2066" w:type="dxa"/>
            <w:tcBorders/>
          </w:tcPr>
          <w:p>
            <w:pPr>
              <w:pStyle w:val="Normal"/>
              <w:widowControl w:val="false"/>
              <w:rPr>
                <w:sz w:val="22"/>
                <w:szCs w:val="22"/>
              </w:rPr>
            </w:pPr>
            <w:r>
              <w:rPr>
                <w:sz w:val="22"/>
                <w:szCs w:val="22"/>
              </w:rPr>
              <w:t>оприлюднено звіт про проведення інформаційних заходів та роз’яснювальної роботи, а також оприлюднено інформаційні матеріали (відеоролики, статті, плакати тощо)</w:t>
            </w:r>
          </w:p>
        </w:tc>
      </w:tr>
      <w:tr>
        <w:trPr>
          <w:trHeight w:val="23" w:hRule="atLeast"/>
        </w:trPr>
        <w:tc>
          <w:tcPr>
            <w:tcW w:w="1800" w:type="dxa"/>
            <w:tcBorders/>
          </w:tcPr>
          <w:p>
            <w:pPr>
              <w:pStyle w:val="Normal"/>
              <w:rPr>
                <w:sz w:val="22"/>
                <w:szCs w:val="22"/>
              </w:rPr>
            </w:pPr>
            <w:r>
              <w:rPr>
                <w:sz w:val="22"/>
                <w:szCs w:val="22"/>
              </w:rPr>
              <w:t>14. Забезпечення сприяння закупівлі транспорту, адаптованого для осіб з обмеженнями повсякденного функціонування</w:t>
            </w:r>
          </w:p>
        </w:tc>
        <w:tc>
          <w:tcPr>
            <w:tcW w:w="3240" w:type="dxa"/>
            <w:tcBorders/>
          </w:tcPr>
          <w:p>
            <w:pPr>
              <w:pStyle w:val="Normal"/>
              <w:rPr>
                <w:sz w:val="22"/>
                <w:szCs w:val="22"/>
              </w:rPr>
            </w:pPr>
            <w:r>
              <w:rPr>
                <w:sz w:val="22"/>
                <w:szCs w:val="22"/>
              </w:rPr>
              <w:t>1) проведення аналізу доступності шкільних автобусів для осіб з інвалідністю та осіб з особливими освітніми потребами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Франківської облдержадміністрації</w:t>
            </w:r>
          </w:p>
        </w:tc>
        <w:tc>
          <w:tcPr>
            <w:tcW w:w="2066" w:type="dxa"/>
            <w:tcBorders/>
          </w:tcPr>
          <w:p>
            <w:pPr>
              <w:pStyle w:val="Normal"/>
              <w:rPr>
                <w:sz w:val="22"/>
                <w:szCs w:val="22"/>
              </w:rPr>
            </w:pPr>
            <w:r>
              <w:rPr>
                <w:sz w:val="22"/>
                <w:szCs w:val="22"/>
              </w:rPr>
              <w:t>оприлюднено звіт про результати проведення аналізу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проведення аналізу закладів загальної середньої освіти, які не мають шкільних автобусів, доступних для осіб з інвалідністю та осіб з особливими освітніми потребами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Франківської облдержадміністрації</w:t>
            </w:r>
          </w:p>
        </w:tc>
        <w:tc>
          <w:tcPr>
            <w:tcW w:w="2066" w:type="dxa"/>
            <w:tcBorders/>
          </w:tcPr>
          <w:p>
            <w:pPr>
              <w:pStyle w:val="Normal"/>
              <w:rPr>
                <w:sz w:val="22"/>
                <w:szCs w:val="22"/>
              </w:rPr>
            </w:pPr>
            <w:r>
              <w:rPr>
                <w:sz w:val="22"/>
                <w:szCs w:val="22"/>
              </w:rPr>
              <w:t>оприлюднено звіт про результати проведення аналізу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придбання шкільних автобусів, пристосованих для перевезення дітей з інвалідністю, що користуються кріслом колісним</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Франківської облдержадміністрації</w:t>
            </w:r>
          </w:p>
        </w:tc>
        <w:tc>
          <w:tcPr>
            <w:tcW w:w="2066" w:type="dxa"/>
            <w:tcBorders/>
          </w:tcPr>
          <w:p>
            <w:pPr>
              <w:pStyle w:val="Normal"/>
              <w:rPr>
                <w:sz w:val="22"/>
                <w:szCs w:val="22"/>
              </w:rPr>
            </w:pPr>
            <w:r>
              <w:rPr>
                <w:sz w:val="22"/>
                <w:szCs w:val="22"/>
              </w:rPr>
              <w:t>підготовлено звіт про результати проведення закупівель</w:t>
            </w:r>
          </w:p>
        </w:tc>
      </w:tr>
      <w:tr>
        <w:trPr>
          <w:trHeight w:val="23" w:hRule="atLeast"/>
        </w:trPr>
        <w:tc>
          <w:tcPr>
            <w:tcW w:w="1800" w:type="dxa"/>
            <w:tcBorders/>
          </w:tcPr>
          <w:p>
            <w:pPr>
              <w:pStyle w:val="Normal"/>
              <w:widowControl w:val="false"/>
              <w:rPr>
                <w:sz w:val="22"/>
                <w:szCs w:val="22"/>
              </w:rPr>
            </w:pPr>
            <w:r>
              <w:rPr>
                <w:sz w:val="22"/>
                <w:szCs w:val="22"/>
              </w:rPr>
              <w:t>15. Проведення модернізації та переобладнання існуючого транспорту</w:t>
            </w:r>
          </w:p>
        </w:tc>
        <w:tc>
          <w:tcPr>
            <w:tcW w:w="3240" w:type="dxa"/>
            <w:tcBorders/>
          </w:tcPr>
          <w:p>
            <w:pPr>
              <w:pStyle w:val="Normal"/>
              <w:rPr>
                <w:sz w:val="22"/>
                <w:szCs w:val="22"/>
              </w:rPr>
            </w:pPr>
            <w:r>
              <w:rPr>
                <w:sz w:val="22"/>
                <w:szCs w:val="22"/>
              </w:rPr>
              <w:t xml:space="preserve">1) проведення аналізу доступності послуг з пасажирських перевезень, що надаються приватними перевізниками </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опубліковано звіт про результати проведення аналізу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пристосування транспортних засобів для здійснення пасажирських перевезень на автобусних маршрутах загального користування</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 xml:space="preserve">забезпечено пристосування не менше ніж 75 відсотків транспортних засобів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4) забезпечення поетапного збільшення на маршрутах загального користування кількості транспортних засобів, пристосованих для перевезення осіб з інвалідністю та інших маломобільних груп населення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widowControl w:val="false"/>
              <w:rPr>
                <w:sz w:val="22"/>
                <w:szCs w:val="22"/>
              </w:rPr>
            </w:pPr>
            <w:r>
              <w:rPr>
                <w:sz w:val="22"/>
                <w:szCs w:val="22"/>
              </w:rPr>
              <w:t>забезпечено опублікування щокварталу звіту про кількість транспортних засобів на маршрутах загального користування, пристосованих для перевезення осіб з інвалідністю та інших маломобільних груп населення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14) організація транспортних пасажирських перевезень транспортом, доступним для маломобільних груп населення (закупівля доступного транспорту, переоблаштування наявного транспорту, проведення процедури публічних закупівель нового транспорту для обслуговування маршрутів перевізниками із виконанням вимог щодо доступності)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опубліковано звіт про забезпечення доступності не менше 75 відсотків міського, приміського і міжміського транспорту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15) збільшення кількості громадського транспорту, обладнаного посадковими пристроями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забезпечено опублікування щороку звіту щодо обладнання не менше 75 відсотків громадського транспорту посадковими пристроями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16) забезпечення проведення системного моніторингу стану виконання перевізниками вимог щодо доступності транспорту для маломобільних груп населення, включаючи проведення оцінки відповідності транспортних засобів вимогам щодо пасажирських перевезень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опубліковано звіт про результати проведення моніторингу, який включає результати оцінки відповідності транспортних засобів вимогам щодо доступності для маломобільних груп населення</w:t>
            </w:r>
          </w:p>
        </w:tc>
      </w:tr>
      <w:tr>
        <w:trPr>
          <w:trHeight w:val="23" w:hRule="atLeast"/>
        </w:trPr>
        <w:tc>
          <w:tcPr>
            <w:tcW w:w="1800" w:type="dxa"/>
            <w:tcBorders/>
          </w:tcPr>
          <w:p>
            <w:pPr>
              <w:pStyle w:val="Normal"/>
              <w:widowControl w:val="false"/>
              <w:rPr>
                <w:sz w:val="22"/>
                <w:szCs w:val="22"/>
              </w:rPr>
            </w:pPr>
            <w:r>
              <w:rPr>
                <w:sz w:val="22"/>
                <w:szCs w:val="22"/>
              </w:rPr>
              <w:t>16. Забезпечення розвитку безбар’єрних маршрутів, перехресть, зупинок громадського транспорту, тротуарів, дублювання підземних переходів наземними</w:t>
            </w:r>
          </w:p>
        </w:tc>
        <w:tc>
          <w:tcPr>
            <w:tcW w:w="3240" w:type="dxa"/>
            <w:tcBorders/>
          </w:tcPr>
          <w:p>
            <w:pPr>
              <w:pStyle w:val="Normal"/>
              <w:widowControl w:val="false"/>
              <w:rPr>
                <w:sz w:val="22"/>
                <w:szCs w:val="22"/>
              </w:rPr>
            </w:pPr>
            <w:r>
              <w:rPr>
                <w:sz w:val="22"/>
                <w:szCs w:val="22"/>
              </w:rPr>
              <w:t>1) проведення оцінки безбар’єрності вулиць і доріг</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опубліковано звіт про результати проведення оцінки безбар’єрності вулиць і доріг (з кількісними показниками та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2) включення до програмних документів заходів з облаштування безбар’єрних вулиць і доріг</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rPr>
                <w:sz w:val="22"/>
                <w:szCs w:val="22"/>
              </w:rPr>
            </w:pPr>
            <w:r>
              <w:rPr>
                <w:sz w:val="22"/>
                <w:szCs w:val="22"/>
              </w:rPr>
              <w:t>січень —червень 2025 р.</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прийнято програмні або інші документи з відповідними заходами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4) забезпечення покращення пішохідної інфраструктури, паркувальних зон, обмеження швидкості руху транспортних засобів та розвиток інфраструктури для руху велосипедів (встановлення світлофорів, озвучених для задоволення потреб осіб з порушеннями слуху та оснащених для задоволення потреб осіб з порушеннями зору)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widowControl w:val="false"/>
              <w:rPr>
                <w:sz w:val="22"/>
                <w:szCs w:val="22"/>
              </w:rPr>
            </w:pPr>
            <w:r>
              <w:rPr>
                <w:sz w:val="22"/>
                <w:szCs w:val="22"/>
              </w:rPr>
              <w:t>забезпечено опублікування щокварталу звіту про результати проведення заходів з покращення не менше 30 відсотків пішохідної інфраструктури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5) забезпечення безпеки руху на ділянках транзитних магістралей та у місцях перетину вулиць у населених пунктах шляхом облаштування пішохідних переходів спеціалізованими світлофорами, контрастною розміткою, засобами тактильної навігації, похилими з’їздами, огорожами, направляючими засобами орієнтування та дорожніми знаками “Пішоходи з порушенням зору” та “Особи з інвалідністю” відповідно до Правил дорожнього руху, затверджених постановою Кабінету Міністрів України </w:t>
              <w:br/>
              <w:t>від 10 жовтня 2001 р. № 1306</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опублікування щокварталу звіту про кількість облаштованих перехресть та пішохідних переходів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забезпечення дублювання підземних переходів наземними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забезпечено опублікування щокварталу звіту про результати облаштування наземних переходів, що дублюють підземні, із зазначенням не менше 10 відсотків підземних переходів, які продубльовано наземними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7) забезпечення фізичної доступності збірних, приймальних, проміжних пунктів евакуації, пунктів посадки/висадки, об’єктів залізничної/транспортної інфраструктури (залізничні/автобусні вокзали, станції, платформи тощо), будинків і споруд розміщення та прилеглої до них території, а також  транспортних засобів (вагонів/автобусів, якими планується евакуація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цивільного захисту Франківської облдержадміністрації</w:t>
            </w:r>
          </w:p>
        </w:tc>
        <w:tc>
          <w:tcPr>
            <w:tcW w:w="2066" w:type="dxa"/>
            <w:tcBorders/>
          </w:tcPr>
          <w:p>
            <w:pPr>
              <w:pStyle w:val="Normal"/>
              <w:rPr>
                <w:sz w:val="22"/>
                <w:szCs w:val="22"/>
              </w:rPr>
            </w:pPr>
            <w:r>
              <w:rPr>
                <w:sz w:val="22"/>
                <w:szCs w:val="22"/>
              </w:rPr>
              <w:t>забезпечено опублікування щокварталу звіту про виконання робіт із забезпечення фізичної доступності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підготовка пропозицій щодо визначення маршрутів евакуації осіб з інвалідністю в частині наявного транспорту, адаптованих автозаправних станцій та проміжних пунктів зупинки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 вересень 2025 р.</w:t>
            </w:r>
          </w:p>
        </w:tc>
        <w:tc>
          <w:tcPr>
            <w:tcW w:w="2340" w:type="dxa"/>
            <w:tcBorders/>
          </w:tcPr>
          <w:p>
            <w:pPr>
              <w:pStyle w:val="Normal"/>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цивільного захисту Франківської облдержадміністрації</w:t>
            </w:r>
          </w:p>
        </w:tc>
        <w:tc>
          <w:tcPr>
            <w:tcW w:w="2066" w:type="dxa"/>
            <w:tcBorders/>
          </w:tcPr>
          <w:p>
            <w:pPr>
              <w:pStyle w:val="Normal"/>
              <w:rPr>
                <w:sz w:val="22"/>
                <w:szCs w:val="22"/>
              </w:rPr>
            </w:pPr>
            <w:r>
              <w:rPr>
                <w:sz w:val="22"/>
                <w:szCs w:val="22"/>
              </w:rPr>
              <w:t>підготовлено пропозиції</w:t>
            </w:r>
          </w:p>
        </w:tc>
      </w:tr>
      <w:tr>
        <w:trPr>
          <w:trHeight w:val="3909" w:hRule="atLeast"/>
        </w:trPr>
        <w:tc>
          <w:tcPr>
            <w:tcW w:w="1800" w:type="dxa"/>
            <w:tcBorders/>
          </w:tcPr>
          <w:p>
            <w:pPr>
              <w:pStyle w:val="Normal"/>
              <w:widowControl w:val="false"/>
              <w:rPr>
                <w:sz w:val="22"/>
                <w:szCs w:val="22"/>
              </w:rPr>
            </w:pPr>
            <w:r>
              <w:rPr>
                <w:sz w:val="22"/>
                <w:szCs w:val="22"/>
              </w:rPr>
              <w:t>17. Розроблення та запровадження програм розвитку та підтримки доступності транспорту та об’єктів транспортної інфраструктури для осіб з інвалідністю за видами транспорту</w:t>
            </w:r>
          </w:p>
        </w:tc>
        <w:tc>
          <w:tcPr>
            <w:tcW w:w="3240" w:type="dxa"/>
            <w:tcBorders/>
          </w:tcPr>
          <w:p>
            <w:pPr>
              <w:pStyle w:val="Normal"/>
              <w:rPr>
                <w:sz w:val="22"/>
                <w:szCs w:val="22"/>
              </w:rPr>
            </w:pPr>
            <w:r>
              <w:rPr>
                <w:sz w:val="22"/>
                <w:szCs w:val="22"/>
              </w:rPr>
              <w:t>3) розроблення програм підтримки розвитку доступного транспорту та об’єктів транспортної інфраструктури відповідно до визначених пріоритетів для автомобільного, залізничного, електричного, підземного транспорту різних типів сполучення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розроблено програми підтримки розвитку доступної транспортної інфраструктури відповідно до визначених пріоритетів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за участю громадськості навчальних семінарів з питань безбар’єрності на транспорті для представників автотранспортних підприємств, які здійснюють пасажирські перевезення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widowControl w:val="false"/>
              <w:rPr>
                <w:sz w:val="22"/>
                <w:szCs w:val="22"/>
                <w:highlight w:val="white"/>
              </w:rPr>
            </w:pPr>
            <w:r>
              <w:rPr>
                <w:sz w:val="22"/>
                <w:szCs w:val="22"/>
                <w:shd w:fill="FFFFFF" w:val="clear"/>
              </w:rPr>
              <w:t>Івано-Франківський регіональний центр підвищення кваліфікації</w:t>
            </w:r>
          </w:p>
          <w:p>
            <w:pPr>
              <w:pStyle w:val="Normal"/>
              <w:widowControl w:val="false"/>
              <w:rPr>
                <w:sz w:val="8"/>
                <w:szCs w:val="8"/>
                <w:highlight w:val="white"/>
              </w:rPr>
            </w:pPr>
            <w:r>
              <w:rPr>
                <w:sz w:val="8"/>
                <w:szCs w:val="8"/>
                <w:shd w:fill="FFFFFF" w:val="clear"/>
              </w:rPr>
            </w:r>
          </w:p>
          <w:p>
            <w:pPr>
              <w:pStyle w:val="Normal"/>
              <w:widowControl w:val="false"/>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проведено не менше двох навчальних семінарів для представників автотранспортних підприємств, які здійснюють пасажирські перевезення</w:t>
            </w:r>
          </w:p>
        </w:tc>
      </w:tr>
      <w:tr>
        <w:trPr>
          <w:trHeight w:val="23" w:hRule="atLeast"/>
        </w:trPr>
        <w:tc>
          <w:tcPr>
            <w:tcW w:w="1800" w:type="dxa"/>
            <w:tcBorders/>
          </w:tcPr>
          <w:p>
            <w:pPr>
              <w:pStyle w:val="Normal"/>
              <w:widowControl w:val="false"/>
              <w:rPr>
                <w:sz w:val="22"/>
                <w:szCs w:val="22"/>
              </w:rPr>
            </w:pPr>
            <w:r>
              <w:rPr>
                <w:sz w:val="22"/>
                <w:szCs w:val="22"/>
              </w:rPr>
              <w:t>18. Забезпечення унормування у механізмах проведення публічних закупівель транспортних засобів застосування вимог до безбар’єрності</w:t>
            </w:r>
          </w:p>
        </w:tc>
        <w:tc>
          <w:tcPr>
            <w:tcW w:w="3240" w:type="dxa"/>
            <w:tcBorders/>
          </w:tcPr>
          <w:p>
            <w:pPr>
              <w:pStyle w:val="Normal"/>
              <w:rPr>
                <w:sz w:val="22"/>
                <w:szCs w:val="22"/>
              </w:rPr>
            </w:pPr>
            <w:r>
              <w:rPr>
                <w:sz w:val="22"/>
                <w:szCs w:val="22"/>
              </w:rPr>
              <w:t>1) проведення аналізу врахування стану доступності транспортних засобів під час проведення публічних закупівель</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widowControl w:val="false"/>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розроблено аналітичну довідку щодо врахування стану доступності транспортних засобів під час проведення публічних закупівель</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інформаційної кампанії щодо вимог до закупівель транспортних засобів відповідно до критеріїв доступності транспортних засобів, а також товарів та послуг, що адаптують транспортні засоби, які закуповуються за рахунок коштів державного бюджету та приватних перевізників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widowControl w:val="false"/>
              <w:rPr>
                <w:sz w:val="22"/>
                <w:szCs w:val="22"/>
              </w:rPr>
            </w:pPr>
            <w:r>
              <w:rPr>
                <w:sz w:val="22"/>
                <w:szCs w:val="22"/>
                <w:highlight w:val="white"/>
              </w:rPr>
              <w:t>Департамент економічного розвитку, промисловості та інфраструктури</w:t>
            </w:r>
            <w:r>
              <w:rPr>
                <w:sz w:val="22"/>
                <w:szCs w:val="22"/>
              </w:rPr>
              <w:t xml:space="preserve"> Франківської облдержадміністрації</w:t>
            </w:r>
          </w:p>
        </w:tc>
        <w:tc>
          <w:tcPr>
            <w:tcW w:w="2066" w:type="dxa"/>
            <w:tcBorders/>
          </w:tcPr>
          <w:p>
            <w:pPr>
              <w:pStyle w:val="Normal"/>
              <w:rPr>
                <w:sz w:val="22"/>
                <w:szCs w:val="22"/>
              </w:rPr>
            </w:pPr>
            <w:r>
              <w:rPr>
                <w:sz w:val="22"/>
                <w:szCs w:val="22"/>
              </w:rPr>
              <w:t>опубліковано звіт про результати інформаційної кампанії</w:t>
            </w:r>
          </w:p>
        </w:tc>
      </w:tr>
      <w:tr>
        <w:trPr>
          <w:trHeight w:val="23" w:hRule="atLeast"/>
        </w:trPr>
        <w:tc>
          <w:tcPr>
            <w:tcW w:w="15026" w:type="dxa"/>
            <w:gridSpan w:val="6"/>
            <w:tcBorders/>
          </w:tcPr>
          <w:p>
            <w:pPr>
              <w:pStyle w:val="Normal"/>
              <w:spacing w:before="120" w:after="0"/>
              <w:ind w:start="-40" w:end="-108" w:hanging="0"/>
              <w:jc w:val="center"/>
              <w:rPr>
                <w:b/>
                <w:b/>
                <w:sz w:val="22"/>
                <w:szCs w:val="22"/>
              </w:rPr>
            </w:pPr>
            <w:r>
              <w:rPr>
                <w:b/>
                <w:sz w:val="22"/>
                <w:szCs w:val="22"/>
              </w:rPr>
              <w:t>Напрям 2. Інформаційна безбар’єрність</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“Публічна інформація субʼєктів владних повноважень є доступною для кожного у різних форматах”</w:t>
            </w:r>
          </w:p>
        </w:tc>
      </w:tr>
      <w:tr>
        <w:trPr>
          <w:trHeight w:val="6020" w:hRule="atLeast"/>
        </w:trPr>
        <w:tc>
          <w:tcPr>
            <w:tcW w:w="1800" w:type="dxa"/>
            <w:tcBorders/>
          </w:tcPr>
          <w:p>
            <w:pPr>
              <w:pStyle w:val="Normal"/>
              <w:widowControl w:val="false"/>
              <w:rPr>
                <w:sz w:val="22"/>
                <w:szCs w:val="22"/>
              </w:rPr>
            </w:pPr>
            <w:r>
              <w:rPr>
                <w:sz w:val="22"/>
                <w:szCs w:val="22"/>
              </w:rPr>
              <w:t>19. Впровадження технологій, таких як текстові альтернативи (текст-заміщення) для зображень, аудіоописи для відеоконтенту, який відображається  на офіційних порталах центральних органів виконавчої влади та органів місцевого самоврядування, зокрема завдяки використанню штучного інтелекту</w:t>
            </w:r>
          </w:p>
        </w:tc>
        <w:tc>
          <w:tcPr>
            <w:tcW w:w="3240" w:type="dxa"/>
            <w:tcBorders/>
          </w:tcPr>
          <w:p>
            <w:pPr>
              <w:pStyle w:val="Normal"/>
              <w:rPr>
                <w:sz w:val="22"/>
                <w:szCs w:val="22"/>
              </w:rPr>
            </w:pPr>
            <w:r>
              <w:rPr>
                <w:sz w:val="22"/>
                <w:szCs w:val="22"/>
              </w:rPr>
              <w:t>2) забезпечення можливості подання звернень (заяв, скарг, повідомлень про порушення прав) альтернативними способами (жестова мова, аудіозапис тощо) на офіційних веб-сайтах центральних органів виконавчої влади та органів місцевого самоврядування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Heading1"/>
              <w:shd w:fill="FFFFFF" w:val="clear"/>
              <w:spacing w:before="0" w:after="0"/>
              <w:rPr>
                <w:b w:val="false"/>
                <w:b w:val="false"/>
                <w:bCs w:val="false"/>
                <w:sz w:val="22"/>
                <w:szCs w:val="22"/>
              </w:rPr>
            </w:pPr>
            <w:r>
              <w:rPr>
                <w:b w:val="false"/>
                <w:bCs w:val="false"/>
                <w:sz w:val="22"/>
                <w:szCs w:val="22"/>
              </w:rPr>
              <w:t>Відділ роботи із зверненням громадян</w:t>
            </w:r>
            <w:r>
              <w:rPr>
                <w:sz w:val="22"/>
                <w:szCs w:val="22"/>
              </w:rPr>
              <w:t xml:space="preserve"> </w:t>
            </w:r>
            <w:r>
              <w:rPr>
                <w:b w:val="false"/>
                <w:sz w:val="22"/>
                <w:szCs w:val="22"/>
              </w:rPr>
              <w:t>Франківської облдержадміністрації</w:t>
            </w:r>
          </w:p>
          <w:p>
            <w:pPr>
              <w:pStyle w:val="Normal"/>
              <w:widowControl w:val="false"/>
              <w:rPr>
                <w:b/>
                <w:b/>
                <w:bCs/>
                <w:sz w:val="8"/>
                <w:szCs w:val="8"/>
              </w:rPr>
            </w:pPr>
            <w:r>
              <w:rPr>
                <w:b/>
                <w:bCs/>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 xml:space="preserve">оприлюднено інформацію про можливість подання звернень альтернативними способами на </w:t>
              <w:br/>
              <w:t xml:space="preserve">100 відсотках офіційних веб-сайтах центральних органів виконавчої влади та органів місцевого самоврядування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сприяння субтитруванню та/або перекладу на жестову мову офіційних повідомлень, виступів та звернень голів обласних та Київської міської держадміністрацій</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 xml:space="preserve">забезпечено опублікування щокварталу звіту про субтитрування або переклад на жестову мову не менше </w:t>
              <w:br/>
              <w:t>90 відсотків офіційних повідомлень, виступів та звернень голів обласних та Київської міської держадміністрацій</w:t>
            </w:r>
          </w:p>
        </w:tc>
      </w:tr>
      <w:tr>
        <w:trPr>
          <w:trHeight w:val="23" w:hRule="atLeast"/>
        </w:trPr>
        <w:tc>
          <w:tcPr>
            <w:tcW w:w="1800" w:type="dxa"/>
            <w:tcBorders/>
          </w:tcPr>
          <w:p>
            <w:pPr>
              <w:pStyle w:val="Normal"/>
              <w:widowControl w:val="false"/>
              <w:rPr>
                <w:sz w:val="22"/>
                <w:szCs w:val="22"/>
              </w:rPr>
            </w:pPr>
            <w:r>
              <w:rPr>
                <w:sz w:val="22"/>
                <w:szCs w:val="22"/>
              </w:rPr>
              <w:t>21. Запровадження механізму забезпечення рівного доступу до носіїв інформації осіб з порушеннями зору та слуху під час звернення до суб’єктів владних повноважень</w:t>
            </w:r>
          </w:p>
        </w:tc>
        <w:tc>
          <w:tcPr>
            <w:tcW w:w="3240" w:type="dxa"/>
            <w:tcBorders/>
          </w:tcPr>
          <w:p>
            <w:pPr>
              <w:pStyle w:val="Normal"/>
              <w:widowControl w:val="false"/>
              <w:rPr>
                <w:sz w:val="22"/>
                <w:szCs w:val="22"/>
              </w:rPr>
            </w:pPr>
            <w:r>
              <w:rPr>
                <w:sz w:val="22"/>
                <w:szCs w:val="22"/>
              </w:rPr>
              <w:t>1) урахування під час розроблення інформаційних буклетів потреб осіб з порушеннями зору, слуху та когнітивними порушеннями і формату простої мови і легкого читання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 —червень 2025 р.</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сформовано перелік роздаткових матеріалів та брошур у форматі простої мови і легкого читання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2) запровадження системи онлайн-перекладу на жестову мову для проведення консультацій і отримання послуг</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 xml:space="preserve">укладено договори про надання послуг з перекладу на жестову мову для не менше </w:t>
              <w:br/>
              <w:t>50 відсотків консультацій і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3) забезпечення надавачів послуг моніторами та текстовими інформаційними панелями, які будуть використовуватися для відображення важливої інформації для осіб з порушеннями слуху та різними ступенями обмеження здатності до спілкування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підготовлено звіт про встановлення моніторів та текстових інформаційних панелей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4) забезпечення розміщення інформації на стендах чи екранах достатнього розміру для можливості прочитання її з необхідної відстані, а також відсутності перешкод для можливості підійти до них на прийнятну відстань</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 — липень 2025 р.</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підготовлено звіт щодо забезпечення розміщення інформації на стендах чи екранах достатнього розміру для можливості прочитання її з необхідної відстані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8) впровадження системи відеозв’язку з перекладачами на жестову мову та забезпечення центрів надання адміністративних послуг технічними засобами та ліцензійними програмними продуктами для здійснення відеозв’язку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Управління цифрового розвитку, цифрових трансформацій і цифровізації</w:t>
            </w:r>
            <w:r>
              <w:rPr>
                <w:sz w:val="22"/>
                <w:szCs w:val="22"/>
              </w:rPr>
              <w:t xml:space="preserve">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забезпечено підготовку щокварталу звіту щодо запровадження системи відеозв’язку з перекладачами на жестову мову у не менше 20 відсотках центрів надання адміністративних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9) поширення інформаційних матеріалів про права та гарантії, інвалідність, доступність та реабілітацію у 15 пілотних громадах</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Органи місцевого самоврядування (за згодою)</w:t>
            </w:r>
          </w:p>
        </w:tc>
        <w:tc>
          <w:tcPr>
            <w:tcW w:w="2066" w:type="dxa"/>
            <w:tcBorders/>
          </w:tcPr>
          <w:p>
            <w:pPr>
              <w:pStyle w:val="Normal"/>
              <w:widowControl w:val="false"/>
              <w:rPr>
                <w:sz w:val="22"/>
                <w:szCs w:val="22"/>
              </w:rPr>
            </w:pPr>
            <w:r>
              <w:rPr>
                <w:sz w:val="22"/>
                <w:szCs w:val="22"/>
              </w:rPr>
              <w:t>оприлюднено звіт про результати поширення інформаційних матеріалів</w:t>
            </w:r>
          </w:p>
        </w:tc>
      </w:tr>
      <w:tr>
        <w:trPr>
          <w:trHeight w:val="23" w:hRule="atLeast"/>
        </w:trPr>
        <w:tc>
          <w:tcPr>
            <w:tcW w:w="1800" w:type="dxa"/>
            <w:tcBorders/>
          </w:tcPr>
          <w:p>
            <w:pPr>
              <w:pStyle w:val="Normal"/>
              <w:rPr>
                <w:sz w:val="22"/>
                <w:szCs w:val="22"/>
              </w:rPr>
            </w:pPr>
            <w:r>
              <w:rPr>
                <w:sz w:val="22"/>
                <w:szCs w:val="22"/>
              </w:rPr>
              <w:t>23. Підвищення рівня обізнаності фахівців органів державної влади, інших державних органів, органів місцевого самоврядування про важливість доступності та рівних можливостей для осіб з різними ступенями обмеження здатності до спілкування</w:t>
            </w:r>
          </w:p>
        </w:tc>
        <w:tc>
          <w:tcPr>
            <w:tcW w:w="3240" w:type="dxa"/>
            <w:tcBorders/>
          </w:tcPr>
          <w:p>
            <w:pPr>
              <w:pStyle w:val="Normal"/>
              <w:widowControl w:val="false"/>
              <w:rPr>
                <w:sz w:val="22"/>
                <w:szCs w:val="22"/>
              </w:rPr>
            </w:pPr>
            <w:r>
              <w:rPr>
                <w:sz w:val="22"/>
                <w:szCs w:val="22"/>
              </w:rPr>
              <w:t>1) проведення спеціалізованих тренінгів для персоналу органів державної влади та органів місцевого самоврядування щодо забезпечення доступності інформації, а також використання цифрових платформ, адаптованих для осіб з інвалідністю</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widowControl w:val="false"/>
              <w:rPr>
                <w:sz w:val="22"/>
                <w:szCs w:val="22"/>
              </w:rPr>
            </w:pPr>
            <w:r>
              <w:rPr>
                <w:sz w:val="22"/>
                <w:szCs w:val="22"/>
              </w:rPr>
              <w:t>забезпечено підготовку щокварталу звіту про проведення тренінгів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2) проведення навчання державних службовців та посадових осіб місцевого самоврядування щодо викладення інформації з використанням формату простої мови і легкого читання</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widowControl w:val="false"/>
              <w:rPr>
                <w:sz w:val="22"/>
                <w:szCs w:val="22"/>
              </w:rPr>
            </w:pPr>
            <w:r>
              <w:rPr>
                <w:sz w:val="22"/>
                <w:szCs w:val="22"/>
              </w:rPr>
              <w:t>забезпечено підготовку щокварталу звіту про проведення навчання не менше 500 державних службовців та посадових осіб місцевого самоврядування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забезпечення проведення навчання державних службовців та посадових осіб місцевого самоврядування з питань створення безбар’єрного простору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widowControl w:val="false"/>
              <w:rPr>
                <w:sz w:val="22"/>
                <w:szCs w:val="22"/>
              </w:rPr>
            </w:pPr>
            <w:r>
              <w:rPr>
                <w:sz w:val="22"/>
                <w:szCs w:val="22"/>
              </w:rPr>
              <w:t>забезпечено підготовку щокварталу звіту щодо проведення навчання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6) проведення роботи серед працівників системи охорони здоров’я, які здійснюють прийом громадян, щодо культури та особливостей спілкування з особами з порушеннями слуху та застосування онлайн-додатків безоплатного перекладу на жестову мову</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pPr>
            <w:r>
              <w:rPr>
                <w:sz w:val="22"/>
                <w:szCs w:val="22"/>
              </w:rPr>
              <w:t>Департамент охорони здоров’я Івано-Франківської облдержадміністрації</w:t>
            </w:r>
          </w:p>
          <w:p>
            <w:pPr>
              <w:pStyle w:val="Normal"/>
              <w:widowControl w:val="false"/>
              <w:rPr>
                <w:sz w:val="22"/>
                <w:szCs w:val="22"/>
              </w:rPr>
            </w:pPr>
            <w:r>
              <w:rPr>
                <w:rFonts w:eastAsia="Times New Roman"/>
                <w:sz w:val="22"/>
                <w:szCs w:val="22"/>
              </w:rPr>
              <w:t xml:space="preserve"> </w:t>
            </w:r>
          </w:p>
        </w:tc>
        <w:tc>
          <w:tcPr>
            <w:tcW w:w="2066" w:type="dxa"/>
            <w:tcBorders/>
          </w:tcPr>
          <w:p>
            <w:pPr>
              <w:pStyle w:val="Normal"/>
              <w:widowControl w:val="false"/>
              <w:rPr>
                <w:sz w:val="22"/>
                <w:szCs w:val="22"/>
              </w:rPr>
            </w:pPr>
            <w:r>
              <w:rPr>
                <w:sz w:val="22"/>
                <w:szCs w:val="22"/>
              </w:rPr>
              <w:t>забезпечено підготовку щокварталу звіту про проведення роботи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7) розміщення інформації щодо безбар’єрності на офіційних ресурсах органів державної влади, органів місцевого самоврядування, у медіа та соціальних мережах</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22"/>
                <w:szCs w:val="22"/>
              </w:rPr>
            </w:pPr>
            <w:r>
              <w:rPr>
                <w:sz w:val="22"/>
                <w:szCs w:val="22"/>
              </w:rPr>
            </w:r>
          </w:p>
        </w:tc>
        <w:tc>
          <w:tcPr>
            <w:tcW w:w="2066" w:type="dxa"/>
            <w:tcBorders/>
          </w:tcPr>
          <w:p>
            <w:pPr>
              <w:pStyle w:val="Normal"/>
              <w:widowControl w:val="false"/>
              <w:rPr>
                <w:sz w:val="22"/>
                <w:szCs w:val="22"/>
              </w:rPr>
            </w:pPr>
            <w:r>
              <w:rPr>
                <w:sz w:val="22"/>
                <w:szCs w:val="22"/>
              </w:rPr>
              <w:t>забезпечено розміщення щокварталу інформації на офіційних ресурсах органів державної влади, органів місцевого самоврядування, у засобах масової інформації та соціальних мережах</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8) розміщення розробленої за погодженням з Мінветеранів соціальної реклами в закладах охорони здоров’я, освіти, територіальних центрах комплектування та соціальної підтримки, центрах надання адміністративних послуг, адміністративних приміщеннях органів державної влади та органів місцевого самоврядування, які надають послуги ветеранам війни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pPr>
            <w:r>
              <w:rPr>
                <w:sz w:val="22"/>
                <w:szCs w:val="22"/>
                <w:highlight w:val="white"/>
              </w:rPr>
              <w:t xml:space="preserve">Управління з питань ветеранської політики </w:t>
            </w:r>
            <w:r>
              <w:rPr>
                <w:sz w:val="22"/>
                <w:szCs w:val="22"/>
              </w:rPr>
              <w:t>Івано-Франківської облдержадміністрації</w:t>
            </w:r>
          </w:p>
          <w:p>
            <w:pPr>
              <w:pStyle w:val="Normal"/>
              <w:rPr>
                <w:sz w:val="8"/>
                <w:szCs w:val="8"/>
                <w:highlight w:val="white"/>
              </w:rPr>
            </w:pPr>
            <w:r>
              <w:rPr>
                <w:sz w:val="8"/>
                <w:szCs w:val="8"/>
                <w:shd w:fill="FFFFFF" w:val="clear"/>
              </w:rPr>
            </w:r>
          </w:p>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інформаційної довідки з переліком публікацій соціальної реклами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9) розміщення розробленої за погодженням з Мінветеранів інформації про перелік послуг, які надаються ветеранам війни у соціальних центрах, ветеранських просторах</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highlight w:val="white"/>
              </w:rPr>
              <w:t xml:space="preserve">Департамент соціальної політики </w:t>
            </w:r>
            <w:r>
              <w:rPr>
                <w:sz w:val="22"/>
                <w:szCs w:val="22"/>
              </w:rPr>
              <w:t>Івано-Франківської облдержадміністрації</w:t>
            </w:r>
          </w:p>
          <w:p>
            <w:pPr>
              <w:pStyle w:val="Normal"/>
              <w:rPr>
                <w:sz w:val="8"/>
                <w:szCs w:val="8"/>
                <w:highlight w:val="white"/>
              </w:rPr>
            </w:pPr>
            <w:r>
              <w:rPr>
                <w:sz w:val="8"/>
                <w:szCs w:val="8"/>
                <w:shd w:fill="FFFFFF" w:val="clear"/>
              </w:rPr>
            </w:r>
          </w:p>
          <w:p>
            <w:pPr>
              <w:pStyle w:val="Normal"/>
              <w:rPr>
                <w:sz w:val="22"/>
                <w:szCs w:val="22"/>
              </w:rPr>
            </w:pPr>
            <w:r>
              <w:rPr>
                <w:sz w:val="22"/>
                <w:szCs w:val="22"/>
                <w:highlight w:val="white"/>
              </w:rPr>
              <w:t xml:space="preserve">Управління з питань ветеранської політики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підготовлено звіт з переліком послуг, які надаються ветеранам війни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10) розміщення розробленої за погодженням з Мінветеранів інформації про перелік послуг, які надаються ветеранам війни, на офіційних ресурсах органів державної влади, органів місцевого самоврядування, у медіа</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highlight w:val="white"/>
              </w:rPr>
              <w:t xml:space="preserve">Управління з питань ветеранської політики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інформаційної довідки з переліком публікацій про перелік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11) забезпечення проведення інформаційно-просвітницької кампанії “Україна без бар’єрів”</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tc>
        <w:tc>
          <w:tcPr>
            <w:tcW w:w="2066" w:type="dxa"/>
            <w:tcBorders/>
          </w:tcPr>
          <w:p>
            <w:pPr>
              <w:pStyle w:val="Normal"/>
              <w:rPr>
                <w:sz w:val="22"/>
                <w:szCs w:val="22"/>
              </w:rPr>
            </w:pPr>
            <w:r>
              <w:rPr>
                <w:sz w:val="22"/>
                <w:szCs w:val="22"/>
              </w:rPr>
              <w:t>підготовлено звіт про проведення інформаційної кампанії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12) проведення національної інформаційної кампанії щодо обізнаності про раннє виявлення захворювань новонароджених і надання допомоги</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звіту про проведення національної інформаційної кампанії щодо обізнаності про раннє виявлення захворювань новонароджених і надання допомоги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8"/>
              <w:rPr>
                <w:sz w:val="22"/>
                <w:szCs w:val="22"/>
              </w:rPr>
            </w:pPr>
            <w:r>
              <w:rPr>
                <w:sz w:val="22"/>
                <w:szCs w:val="22"/>
              </w:rPr>
              <w:t>14) проведення щороку національного тижня безбар’єрності  (травень)</w:t>
            </w:r>
          </w:p>
        </w:tc>
        <w:tc>
          <w:tcPr>
            <w:tcW w:w="3540" w:type="dxa"/>
            <w:tcBorders/>
          </w:tcPr>
          <w:p>
            <w:pPr>
              <w:pStyle w:val="Normal"/>
              <w:widowControl w:val="false"/>
              <w:snapToGrid w:val="false"/>
              <w:ind w:firstLine="8"/>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tc>
        <w:tc>
          <w:tcPr>
            <w:tcW w:w="2066" w:type="dxa"/>
            <w:tcBorders/>
          </w:tcPr>
          <w:p>
            <w:pPr>
              <w:pStyle w:val="Normal"/>
              <w:rPr>
                <w:sz w:val="22"/>
                <w:szCs w:val="22"/>
              </w:rPr>
            </w:pPr>
            <w:r>
              <w:rPr>
                <w:sz w:val="22"/>
                <w:szCs w:val="22"/>
              </w:rPr>
              <w:t>оприлюднено результати проведення національного тижня безбар’єрності</w:t>
            </w:r>
          </w:p>
        </w:tc>
      </w:tr>
      <w:tr>
        <w:trPr>
          <w:trHeight w:val="7637" w:hRule="atLeast"/>
        </w:trPr>
        <w:tc>
          <w:tcPr>
            <w:tcW w:w="1800" w:type="dxa"/>
            <w:tcBorders/>
          </w:tcPr>
          <w:p>
            <w:pPr>
              <w:pStyle w:val="Normal"/>
              <w:widowControl w:val="false"/>
              <w:rPr>
                <w:sz w:val="22"/>
                <w:szCs w:val="22"/>
              </w:rPr>
            </w:pPr>
            <w:r>
              <w:rPr>
                <w:sz w:val="22"/>
                <w:szCs w:val="22"/>
              </w:rPr>
              <w:t>24. Забезпечення доступності інформаційних матеріалів для осіб з різними ступенями обмеження здатності до спілкування, зокрема під час виборчого та референдного процесу, під час оповіщення і евакуації осіб старшого віку і осіб з інвалідністю, батьків дітей, які повернулися з депортації, батьків і дітей на територіях можливих бойових дій і деокупованих територіях, про мінну небезпеку і правила поведінки</w:t>
            </w:r>
          </w:p>
        </w:tc>
        <w:tc>
          <w:tcPr>
            <w:tcW w:w="3240" w:type="dxa"/>
            <w:tcBorders/>
          </w:tcPr>
          <w:p>
            <w:pPr>
              <w:pStyle w:val="Normal"/>
              <w:widowControl w:val="false"/>
              <w:ind w:firstLine="8"/>
              <w:rPr>
                <w:sz w:val="22"/>
                <w:szCs w:val="22"/>
              </w:rPr>
            </w:pPr>
            <w:r>
              <w:rPr>
                <w:sz w:val="22"/>
                <w:szCs w:val="22"/>
              </w:rPr>
              <w:t>4) розміщення розроблених за погодженням з Мінветеранів інформаційних матеріалів з питань ветеранської політики на офіційних веб-сайтах органів державної влади та органів місцевого самоврядування</w:t>
            </w:r>
          </w:p>
        </w:tc>
        <w:tc>
          <w:tcPr>
            <w:tcW w:w="3540" w:type="dxa"/>
            <w:tcBorders/>
          </w:tcPr>
          <w:p>
            <w:pPr>
              <w:pStyle w:val="Normal"/>
              <w:widowControl w:val="false"/>
              <w:snapToGrid w:val="false"/>
              <w:ind w:firstLine="8"/>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highlight w:val="white"/>
              </w:rPr>
              <w:t>Управління інформаційної діяльності та комунікацій з громадськістю</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pPr>
            <w:r>
              <w:rPr>
                <w:sz w:val="22"/>
                <w:szCs w:val="22"/>
                <w:highlight w:val="white"/>
              </w:rPr>
              <w:t xml:space="preserve">Управління з питань ветеранської політики </w:t>
            </w:r>
            <w:r>
              <w:rPr>
                <w:sz w:val="22"/>
                <w:szCs w:val="22"/>
              </w:rPr>
              <w:t xml:space="preserve">Івано-Франківської облдержадміністрації </w:t>
            </w:r>
          </w:p>
        </w:tc>
        <w:tc>
          <w:tcPr>
            <w:tcW w:w="2066" w:type="dxa"/>
            <w:tcBorders/>
          </w:tcPr>
          <w:p>
            <w:pPr>
              <w:pStyle w:val="Normal"/>
              <w:rPr>
                <w:sz w:val="22"/>
                <w:szCs w:val="22"/>
              </w:rPr>
            </w:pPr>
            <w:r>
              <w:rPr>
                <w:sz w:val="22"/>
                <w:szCs w:val="22"/>
              </w:rPr>
              <w:t>підготовлено інформаційну довідку щодо кількості розміщених інформаційних матеріалів на офіційних веб-сайтах та в Інтернеті</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8"/>
              <w:rPr>
                <w:sz w:val="22"/>
                <w:szCs w:val="22"/>
              </w:rPr>
            </w:pPr>
            <w:r>
              <w:rPr>
                <w:sz w:val="22"/>
                <w:szCs w:val="22"/>
              </w:rPr>
              <w:t>5) удосконалення форм та способів надання відповіді на звернення громадян з урахуванням форматів, що забезпечують доступність її сприйняття</w:t>
            </w:r>
          </w:p>
        </w:tc>
        <w:tc>
          <w:tcPr>
            <w:tcW w:w="3540" w:type="dxa"/>
            <w:tcBorders/>
          </w:tcPr>
          <w:p>
            <w:pPr>
              <w:pStyle w:val="Normal"/>
              <w:widowControl w:val="false"/>
              <w:snapToGrid w:val="false"/>
              <w:ind w:firstLine="8"/>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Heading1"/>
              <w:shd w:fill="FFFFFF" w:val="clear"/>
              <w:spacing w:before="0" w:after="0"/>
              <w:rPr>
                <w:b w:val="false"/>
                <w:b w:val="false"/>
                <w:bCs w:val="false"/>
                <w:sz w:val="22"/>
                <w:szCs w:val="22"/>
              </w:rPr>
            </w:pPr>
            <w:r>
              <w:rPr>
                <w:b w:val="false"/>
                <w:bCs w:val="false"/>
                <w:sz w:val="22"/>
                <w:szCs w:val="22"/>
              </w:rPr>
              <w:t>Відділ роботи із зверненням громадян</w:t>
            </w:r>
            <w:r>
              <w:rPr>
                <w:sz w:val="22"/>
                <w:szCs w:val="22"/>
              </w:rPr>
              <w:t xml:space="preserve"> </w:t>
            </w:r>
            <w:r>
              <w:rPr>
                <w:b w:val="false"/>
                <w:sz w:val="22"/>
                <w:szCs w:val="22"/>
              </w:rPr>
              <w:t>Івано-Франківської облдержадміністрації</w:t>
            </w:r>
          </w:p>
          <w:p>
            <w:pPr>
              <w:pStyle w:val="Normal"/>
              <w:rPr>
                <w:b/>
                <w:b/>
                <w:bCs/>
                <w:sz w:val="22"/>
                <w:szCs w:val="22"/>
              </w:rPr>
            </w:pPr>
            <w:r>
              <w:rPr>
                <w:b/>
                <w:bCs/>
                <w:sz w:val="22"/>
                <w:szCs w:val="22"/>
              </w:rPr>
            </w:r>
          </w:p>
        </w:tc>
        <w:tc>
          <w:tcPr>
            <w:tcW w:w="2066" w:type="dxa"/>
            <w:tcBorders/>
          </w:tcPr>
          <w:p>
            <w:pPr>
              <w:pStyle w:val="Normal"/>
              <w:rPr>
                <w:sz w:val="22"/>
                <w:szCs w:val="22"/>
              </w:rPr>
            </w:pPr>
            <w:r>
              <w:rPr>
                <w:sz w:val="22"/>
                <w:szCs w:val="22"/>
              </w:rPr>
              <w:t>підготовлено інформаційну довідку про розроблені відповідні підходи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8"/>
              <w:rPr>
                <w:sz w:val="22"/>
                <w:szCs w:val="22"/>
              </w:rPr>
            </w:pPr>
            <w:r>
              <w:rPr>
                <w:sz w:val="22"/>
                <w:szCs w:val="22"/>
              </w:rPr>
              <w:t>7) розроблення чек-листів для проведення аналізу інформаційної доступності в приміщеннях закладів освіти, охорони здоров’я та культури роздаткових інформаційних матеріалів (брошур), інформації на стендах, моніторах, наявності вказівників до кабінетів та інших кімнат для осіб з різними ступенями обмеження здатності до спілкування та проведення відповідного аналізу</w:t>
            </w:r>
          </w:p>
        </w:tc>
        <w:tc>
          <w:tcPr>
            <w:tcW w:w="3540" w:type="dxa"/>
            <w:tcBorders/>
          </w:tcPr>
          <w:p>
            <w:pPr>
              <w:pStyle w:val="Normal"/>
              <w:widowControl w:val="false"/>
              <w:snapToGrid w:val="false"/>
              <w:ind w:firstLine="8"/>
              <w:rPr>
                <w:sz w:val="22"/>
                <w:szCs w:val="22"/>
              </w:rPr>
            </w:pPr>
            <w:r>
              <w:rPr>
                <w:sz w:val="22"/>
                <w:szCs w:val="22"/>
              </w:rPr>
            </w:r>
          </w:p>
        </w:tc>
        <w:tc>
          <w:tcPr>
            <w:tcW w:w="2040" w:type="dxa"/>
            <w:tcBorders/>
          </w:tcPr>
          <w:p>
            <w:pPr>
              <w:pStyle w:val="Normal"/>
              <w:rPr>
                <w:sz w:val="22"/>
                <w:szCs w:val="22"/>
              </w:rPr>
            </w:pPr>
            <w:r>
              <w:rPr>
                <w:sz w:val="22"/>
                <w:szCs w:val="22"/>
              </w:rPr>
              <w:t>січень —травень 2025 р.</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tc>
        <w:tc>
          <w:tcPr>
            <w:tcW w:w="2066" w:type="dxa"/>
            <w:tcBorders/>
          </w:tcPr>
          <w:p>
            <w:pPr>
              <w:pStyle w:val="Normal"/>
              <w:rPr>
                <w:sz w:val="22"/>
                <w:szCs w:val="22"/>
              </w:rPr>
            </w:pPr>
            <w:r>
              <w:rPr>
                <w:sz w:val="22"/>
                <w:szCs w:val="22"/>
              </w:rPr>
              <w:t>підготовлено звіт щодо результатів проведення аналізу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widowControl w:val="false"/>
              <w:ind w:firstLine="8"/>
              <w:rPr>
                <w:sz w:val="22"/>
                <w:szCs w:val="22"/>
              </w:rPr>
            </w:pPr>
            <w:r>
              <w:rPr>
                <w:sz w:val="22"/>
                <w:szCs w:val="22"/>
              </w:rPr>
              <w:t>8) надання рекомендацій щодо встановлення в закладах охорони здоров’я, освіти тактильних знаків і вказівників із шрифтом Брайля, а також звичайним текстом з використанням об’ємних літер відповідно до державних будівельних норм для підвищення рівня інформаційної доступності для осіб з порушеннями зору</w:t>
            </w:r>
          </w:p>
        </w:tc>
        <w:tc>
          <w:tcPr>
            <w:tcW w:w="3540" w:type="dxa"/>
            <w:tcBorders/>
          </w:tcPr>
          <w:p>
            <w:pPr>
              <w:pStyle w:val="Normal"/>
              <w:widowControl w:val="false"/>
              <w:snapToGrid w:val="false"/>
              <w:ind w:firstLine="8"/>
              <w:rPr>
                <w:sz w:val="22"/>
                <w:szCs w:val="22"/>
              </w:rPr>
            </w:pPr>
            <w:r>
              <w:rPr>
                <w:sz w:val="22"/>
                <w:szCs w:val="22"/>
              </w:rPr>
            </w:r>
          </w:p>
        </w:tc>
        <w:tc>
          <w:tcPr>
            <w:tcW w:w="2040" w:type="dxa"/>
            <w:tcBorders/>
          </w:tcPr>
          <w:p>
            <w:pPr>
              <w:pStyle w:val="Normal"/>
              <w:rPr>
                <w:sz w:val="22"/>
                <w:szCs w:val="22"/>
              </w:rPr>
            </w:pPr>
            <w:r>
              <w:rPr>
                <w:sz w:val="22"/>
                <w:szCs w:val="22"/>
              </w:rPr>
              <w:t>січень — жовтень 2025 р.</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щодо вжитих заходів, спрямованих на встановлення в закладах охорони здоров’я, освіти тактильних знаків і вказівників із шрифтом Брайля, а також звичайним текстом з використанням об’ємних літер відповідно до державних будівельних норм для підвищення рівня інформаційної доступності для осіб з порушеннями зору</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“Інформація у аудіовізуальних та друкованих медіа відповідає потребам осіб з обмеженнями повсякденного функціонування”</w:t>
            </w:r>
          </w:p>
        </w:tc>
      </w:tr>
      <w:tr>
        <w:trPr>
          <w:trHeight w:val="3912" w:hRule="atLeast"/>
        </w:trPr>
        <w:tc>
          <w:tcPr>
            <w:tcW w:w="1800" w:type="dxa"/>
            <w:tcBorders/>
          </w:tcPr>
          <w:p>
            <w:pPr>
              <w:pStyle w:val="Normal"/>
              <w:widowControl w:val="false"/>
              <w:rPr>
                <w:sz w:val="22"/>
                <w:szCs w:val="22"/>
              </w:rPr>
            </w:pPr>
            <w:r>
              <w:rPr>
                <w:sz w:val="22"/>
                <w:szCs w:val="22"/>
              </w:rPr>
              <w:t>25. Забезпечення взаємодії та консультацій з профільними організаціями, експертними організаціями, особами з інвалідністю для визначення конкретних потреб та побажань щодо доступності медіа</w:t>
            </w:r>
          </w:p>
        </w:tc>
        <w:tc>
          <w:tcPr>
            <w:tcW w:w="3240" w:type="dxa"/>
            <w:tcBorders/>
          </w:tcPr>
          <w:p>
            <w:pPr>
              <w:pStyle w:val="Normal"/>
              <w:widowControl w:val="false"/>
              <w:ind w:firstLine="8"/>
              <w:rPr>
                <w:sz w:val="22"/>
                <w:szCs w:val="22"/>
              </w:rPr>
            </w:pPr>
            <w:r>
              <w:rPr>
                <w:sz w:val="22"/>
                <w:szCs w:val="22"/>
              </w:rPr>
              <w:t>3) проведення інформаційних кампаній для представників медіа з метою підвищення рівня їх обізнаності з питань інвалідності, зокрема щодо прав та можливостей осіб з інвалідністю, осіб з інвалідністю внаслідок війни та інших маломобільних груп населення</w:t>
            </w:r>
          </w:p>
        </w:tc>
        <w:tc>
          <w:tcPr>
            <w:tcW w:w="3540" w:type="dxa"/>
            <w:tcBorders/>
          </w:tcPr>
          <w:p>
            <w:pPr>
              <w:pStyle w:val="Normal"/>
              <w:widowControl w:val="false"/>
              <w:snapToGrid w:val="false"/>
              <w:ind w:firstLine="8"/>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звіту про проведення інформаційних кампаній для представників медіа</w:t>
            </w:r>
          </w:p>
        </w:tc>
      </w:tr>
      <w:tr>
        <w:trPr>
          <w:trHeight w:val="3599" w:hRule="atLeast"/>
        </w:trPr>
        <w:tc>
          <w:tcPr>
            <w:tcW w:w="1800" w:type="dxa"/>
            <w:tcBorders/>
          </w:tcPr>
          <w:p>
            <w:pPr>
              <w:pStyle w:val="Normal"/>
              <w:widowControl w:val="false"/>
              <w:rPr>
                <w:sz w:val="22"/>
                <w:szCs w:val="22"/>
              </w:rPr>
            </w:pPr>
            <w:r>
              <w:rPr>
                <w:sz w:val="22"/>
                <w:szCs w:val="22"/>
              </w:rPr>
              <w:t>26. Проведення моніторингу і оцінки наявних друкованих матеріалів та медіа-ресурсів щодо доступності наявної інформації для осіб з обмеженнями повсякденного функціонування</w:t>
            </w:r>
          </w:p>
        </w:tc>
        <w:tc>
          <w:tcPr>
            <w:tcW w:w="3240" w:type="dxa"/>
            <w:tcBorders/>
          </w:tcPr>
          <w:p>
            <w:pPr>
              <w:pStyle w:val="Normal"/>
              <w:rPr>
                <w:sz w:val="22"/>
                <w:szCs w:val="22"/>
              </w:rPr>
            </w:pPr>
            <w:r>
              <w:rPr>
                <w:sz w:val="22"/>
                <w:szCs w:val="22"/>
              </w:rPr>
              <w:t>8) забезпечення координації роботи з партнерами з розвитку і проектами міжнародної технічної допомоги щодо здійснення заходів з інформаційної безбарʼєрності в рамках виконання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b/>
                <w:b/>
                <w:sz w:val="22"/>
                <w:szCs w:val="22"/>
              </w:rPr>
            </w:pPr>
            <w:r>
              <w:rPr>
                <w:rStyle w:val="StrongEmphasis"/>
                <w:b w:val="false"/>
                <w:color w:val="000000"/>
                <w:sz w:val="22"/>
                <w:szCs w:val="22"/>
                <w:shd w:fill="FFFFFF" w:val="clear"/>
              </w:rPr>
              <w:t>Департамент міжнародного співробітництва та євроінтеграції громад </w:t>
            </w:r>
          </w:p>
          <w:p>
            <w:pPr>
              <w:pStyle w:val="Normal"/>
              <w:rPr>
                <w:sz w:val="22"/>
                <w:szCs w:val="22"/>
              </w:rPr>
            </w:pP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щопівроку звіту про результати співпраці з партнерами з розвитку і проектами міжнародної технічної допомоги щодо здійснення заходів</w:t>
            </w:r>
          </w:p>
        </w:tc>
      </w:tr>
      <w:tr>
        <w:trPr>
          <w:trHeight w:val="5184" w:hRule="atLeast"/>
        </w:trPr>
        <w:tc>
          <w:tcPr>
            <w:tcW w:w="1800" w:type="dxa"/>
            <w:tcBorders/>
          </w:tcPr>
          <w:p>
            <w:pPr>
              <w:pStyle w:val="Normal"/>
              <w:widowControl w:val="false"/>
              <w:rPr>
                <w:sz w:val="22"/>
                <w:szCs w:val="22"/>
              </w:rPr>
            </w:pPr>
            <w:r>
              <w:rPr>
                <w:sz w:val="22"/>
                <w:szCs w:val="22"/>
              </w:rPr>
              <w:t>30. Запровадження державної програми технічного забезпечення програм екранного доступу (screen reader) для осіб з інвалідністю з порушеннями зору та з дислексією, зокрема в частині наявності україномовних синтезаторів мовлення</w:t>
            </w:r>
          </w:p>
        </w:tc>
        <w:tc>
          <w:tcPr>
            <w:tcW w:w="3240" w:type="dxa"/>
            <w:tcBorders/>
          </w:tcPr>
          <w:p>
            <w:pPr>
              <w:pStyle w:val="Normal"/>
              <w:rPr>
                <w:sz w:val="22"/>
                <w:szCs w:val="22"/>
              </w:rPr>
            </w:pPr>
            <w:r>
              <w:rPr>
                <w:sz w:val="22"/>
                <w:szCs w:val="22"/>
              </w:rPr>
              <w:t>2) проведення навчальних семінарів та тренінгів для користувачів програм екранного доступу (screen reader), включаючи інструктажі та підтримку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widowControl w:val="false"/>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забезпечено оприлюднення щокварталу звіту про проведення навчальних семінарів та тренінгів</w:t>
            </w:r>
          </w:p>
        </w:tc>
      </w:tr>
      <w:tr>
        <w:trPr>
          <w:trHeight w:val="23" w:hRule="atLeast"/>
        </w:trPr>
        <w:tc>
          <w:tcPr>
            <w:tcW w:w="15026" w:type="dxa"/>
            <w:gridSpan w:val="6"/>
            <w:tcBorders/>
          </w:tcPr>
          <w:p>
            <w:pPr>
              <w:pStyle w:val="Normal"/>
              <w:spacing w:before="120" w:after="0"/>
              <w:ind w:start="-40" w:end="-108" w:hanging="0"/>
              <w:jc w:val="center"/>
              <w:rPr>
                <w:b/>
                <w:b/>
                <w:sz w:val="22"/>
                <w:szCs w:val="22"/>
              </w:rPr>
            </w:pPr>
            <w:r>
              <w:rPr>
                <w:b/>
                <w:sz w:val="22"/>
                <w:szCs w:val="22"/>
              </w:rPr>
              <w:t>Напрям 3. Цифрова безбар’єрність</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“Швидкісний Інтернет є доступним для всіх”</w:t>
            </w:r>
          </w:p>
        </w:tc>
      </w:tr>
      <w:tr>
        <w:trPr>
          <w:trHeight w:val="23" w:hRule="atLeast"/>
        </w:trPr>
        <w:tc>
          <w:tcPr>
            <w:tcW w:w="1800" w:type="dxa"/>
            <w:tcBorders/>
          </w:tcPr>
          <w:p>
            <w:pPr>
              <w:pStyle w:val="Normal"/>
              <w:widowControl w:val="false"/>
              <w:rPr>
                <w:sz w:val="22"/>
                <w:szCs w:val="22"/>
              </w:rPr>
            </w:pPr>
            <w:r>
              <w:rPr>
                <w:sz w:val="22"/>
                <w:szCs w:val="22"/>
              </w:rPr>
              <w:t>32. Проведення моніторингу щодо доступу до Інтернету закладів освіти, охорони здоров’я, соціального обслуговування</w:t>
            </w:r>
          </w:p>
        </w:tc>
        <w:tc>
          <w:tcPr>
            <w:tcW w:w="3240" w:type="dxa"/>
            <w:tcBorders/>
          </w:tcPr>
          <w:p>
            <w:pPr>
              <w:pStyle w:val="Normal"/>
              <w:rPr>
                <w:sz w:val="22"/>
                <w:szCs w:val="22"/>
              </w:rPr>
            </w:pPr>
            <w:r>
              <w:rPr>
                <w:sz w:val="22"/>
                <w:szCs w:val="22"/>
              </w:rPr>
              <w:t>проведення опитування щодо стану доступу до Інтернету закладів освіти, охорони здоров’я, соціального обслуговування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Франківської облдержадміністрації</w:t>
            </w:r>
          </w:p>
        </w:tc>
        <w:tc>
          <w:tcPr>
            <w:tcW w:w="2066" w:type="dxa"/>
            <w:tcBorders/>
          </w:tcPr>
          <w:p>
            <w:pPr>
              <w:pStyle w:val="Normal"/>
              <w:rPr>
                <w:sz w:val="22"/>
                <w:szCs w:val="22"/>
              </w:rPr>
            </w:pPr>
            <w:r>
              <w:rPr>
                <w:sz w:val="22"/>
                <w:szCs w:val="22"/>
              </w:rPr>
              <w:t>підготовлено звіт про результати опитування</w:t>
            </w:r>
          </w:p>
        </w:tc>
      </w:tr>
      <w:tr>
        <w:trPr>
          <w:trHeight w:val="2435" w:hRule="atLeast"/>
        </w:trPr>
        <w:tc>
          <w:tcPr>
            <w:tcW w:w="1800" w:type="dxa"/>
            <w:tcBorders/>
          </w:tcPr>
          <w:p>
            <w:pPr>
              <w:pStyle w:val="Normal"/>
              <w:widowControl w:val="false"/>
              <w:rPr>
                <w:sz w:val="22"/>
                <w:szCs w:val="22"/>
              </w:rPr>
            </w:pPr>
            <w:r>
              <w:rPr>
                <w:sz w:val="22"/>
                <w:szCs w:val="22"/>
              </w:rPr>
              <w:t>33. Розширення мережі хабів цифрової освіти (спрощеного отримання електронної публічної послуги або доступу до Інтернету)</w:t>
            </w:r>
          </w:p>
        </w:tc>
        <w:tc>
          <w:tcPr>
            <w:tcW w:w="3240" w:type="dxa"/>
            <w:tcBorders/>
          </w:tcPr>
          <w:p>
            <w:pPr>
              <w:pStyle w:val="Normal"/>
              <w:rPr>
                <w:sz w:val="22"/>
                <w:szCs w:val="22"/>
              </w:rPr>
            </w:pPr>
            <w:r>
              <w:rPr>
                <w:sz w:val="22"/>
                <w:szCs w:val="22"/>
              </w:rPr>
              <w:t xml:space="preserve">2) проведення заходів з популяризації доступу до хабів цифрової освіти  на базі бібліотек та закладів освіти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Франківської облдержадміністрації</w:t>
            </w:r>
          </w:p>
          <w:p>
            <w:pPr>
              <w:pStyle w:val="Normal"/>
              <w:widowControl w:val="false"/>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щороку звіту про результати проведення заходів з розширення доступу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7) проведення цифровізації (забезпечення пристроями) бібліотек та закладів освіти сфери культури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Франківської облдержадміністрації</w:t>
            </w:r>
          </w:p>
          <w:p>
            <w:pPr>
              <w:pStyle w:val="Normal"/>
              <w:widowControl w:val="false"/>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про результати цифровізації (забезпечення пристроями) бібліотек та закладів освіти сфери культури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8) забезпечення доступу до широкосмугового Інтернету в бібліотеках та закладах освіти сфери культури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Франківської облдержадміністрації</w:t>
            </w:r>
          </w:p>
          <w:p>
            <w:pPr>
              <w:pStyle w:val="Normal"/>
              <w:widowControl w:val="false"/>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звіту про результати доступу до широкосмугового Інтернету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9) забезпечення необхідним програмним забезпеченням та засобами доступу до Інтернету осіб з інвалідністю, закладів освіти сфери культури та закладів культури, а також бібліотек</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Франківської облдержадміністрації</w:t>
            </w:r>
          </w:p>
          <w:p>
            <w:pPr>
              <w:pStyle w:val="Normal"/>
              <w:widowControl w:val="false"/>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rPr>
                <w:sz w:val="22"/>
                <w:szCs w:val="22"/>
              </w:rPr>
            </w:pPr>
            <w:r>
              <w:rPr>
                <w:sz w:val="22"/>
                <w:szCs w:val="22"/>
              </w:rPr>
              <w:t xml:space="preserve">забезпечено підготовку щокварталу звіту про забезпечення необхідними програмами та засобами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pPr>
            <w:r>
              <w:rPr>
                <w:sz w:val="22"/>
                <w:szCs w:val="22"/>
              </w:rPr>
              <w:t xml:space="preserve">10) придбання обладнання для забезпечення доступу закладів загальної середньої освіти до Інтернету за допомогою мережі </w:t>
            </w:r>
            <w:r>
              <w:rPr>
                <w:sz w:val="22"/>
                <w:szCs w:val="22"/>
                <w:lang w:val="en-US"/>
              </w:rPr>
              <w:t>WI</w:t>
            </w:r>
            <w:r>
              <w:rPr>
                <w:sz w:val="22"/>
                <w:szCs w:val="22"/>
              </w:rPr>
              <w:t>-</w:t>
            </w:r>
            <w:r>
              <w:rPr>
                <w:sz w:val="22"/>
                <w:szCs w:val="22"/>
                <w:lang w:val="en-US"/>
              </w:rPr>
              <w:t>FI</w:t>
            </w:r>
            <w:r>
              <w:rPr>
                <w:sz w:val="22"/>
                <w:szCs w:val="22"/>
              </w:rPr>
              <w:t xml:space="preserve">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про придбання  та отримання обладнання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11) придбання обладнання для забезпечення доступу закладів дошкільної освіти до Інтернету за допомогою мережі </w:t>
            </w:r>
            <w:r>
              <w:rPr>
                <w:sz w:val="22"/>
                <w:szCs w:val="22"/>
                <w:lang w:val="en-US"/>
              </w:rPr>
              <w:t>WI</w:t>
            </w:r>
            <w:r>
              <w:rPr>
                <w:sz w:val="22"/>
                <w:szCs w:val="22"/>
              </w:rPr>
              <w:t>-</w:t>
            </w:r>
            <w:r>
              <w:rPr>
                <w:sz w:val="22"/>
                <w:szCs w:val="22"/>
                <w:lang w:val="en-US"/>
              </w:rPr>
              <w:t>FI</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про придбання  та отримання обладнання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14) забезпечення підключення закладів соціальної сфери до мереж високої пропускної здатності відповідно до визначених вимог</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tc>
        <w:tc>
          <w:tcPr>
            <w:tcW w:w="2066" w:type="dxa"/>
            <w:tcBorders/>
          </w:tcPr>
          <w:p>
            <w:pPr>
              <w:pStyle w:val="Normal"/>
              <w:widowControl w:val="false"/>
              <w:rPr>
                <w:sz w:val="22"/>
                <w:szCs w:val="22"/>
              </w:rPr>
            </w:pPr>
            <w:r>
              <w:rPr>
                <w:sz w:val="22"/>
                <w:szCs w:val="22"/>
              </w:rPr>
              <w:t>підготовлено звіт щодо забезпечення доступу до Інтернету відповідно до вимог щодо підключення закладів соціальної сфери до мереж високої пропускної здатності</w:t>
            </w:r>
          </w:p>
        </w:tc>
      </w:tr>
      <w:tr>
        <w:trPr>
          <w:trHeight w:val="1707" w:hRule="atLeast"/>
        </w:trPr>
        <w:tc>
          <w:tcPr>
            <w:tcW w:w="1800" w:type="dxa"/>
            <w:tcBorders/>
          </w:tcPr>
          <w:p>
            <w:pPr>
              <w:pStyle w:val="Normal"/>
              <w:widowControl w:val="false"/>
              <w:rPr>
                <w:sz w:val="22"/>
                <w:szCs w:val="22"/>
              </w:rPr>
            </w:pPr>
            <w:r>
              <w:rPr>
                <w:sz w:val="22"/>
                <w:szCs w:val="22"/>
              </w:rPr>
              <w:t>34. Підвищення якості надання послуг та їх доступності</w:t>
            </w:r>
          </w:p>
        </w:tc>
        <w:tc>
          <w:tcPr>
            <w:tcW w:w="3240" w:type="dxa"/>
            <w:tcBorders/>
          </w:tcPr>
          <w:p>
            <w:pPr>
              <w:pStyle w:val="Normal"/>
              <w:rPr>
                <w:sz w:val="22"/>
                <w:szCs w:val="22"/>
              </w:rPr>
            </w:pPr>
            <w:r>
              <w:rPr>
                <w:sz w:val="22"/>
                <w:szCs w:val="22"/>
              </w:rPr>
              <w:t>4) забезпечення пунктів незламності необхідними обладнанням і технікою</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з питань цивільного захисту Івано-Франківської облдержадміністрації</w:t>
            </w:r>
          </w:p>
        </w:tc>
        <w:tc>
          <w:tcPr>
            <w:tcW w:w="2066" w:type="dxa"/>
            <w:tcBorders/>
          </w:tcPr>
          <w:p>
            <w:pPr>
              <w:pStyle w:val="Normal"/>
              <w:rPr>
                <w:sz w:val="22"/>
                <w:szCs w:val="22"/>
              </w:rPr>
            </w:pPr>
            <w:r>
              <w:rPr>
                <w:sz w:val="22"/>
                <w:szCs w:val="22"/>
              </w:rPr>
              <w:t>сформовано перелік пунктів незламності, забезпечених необхідними обладнанням і технікою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ідентифікація центрів надання адміністративних послуг як об’єктів критичної інфраструктури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 xml:space="preserve">січень — червень </w:t>
              <w:br/>
              <w:t>2025 р.</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затверджено перелік центрів надання адміністративних послуг, які можуть бути включені до секторального переліку об’єктів критичної інфраструктури за типом основних послуг у підсекторах сектору “Цифрові технології”</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здійснення категоризації центрів надання адміністративних послуг на основі затвердженого переліку центрів надання адміністративних послуг, які можуть бути включені до секторального переліку об’єктів критичної інфраструктури за типом основних послуг у підсекторах сектору “Цифрові технології”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підготовлено звіт щодо включення до секторального переліку об’єктів критичної інфраструктури за типом основних послуг у підсекторах сектору “Цифрові технології” центрів надання адміністративних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7) збільшення кількості місць надання публічних послуг з безоплатного доступу до Інтернету за допомогою мережі </w:t>
            </w:r>
            <w:r>
              <w:rPr>
                <w:sz w:val="22"/>
                <w:szCs w:val="22"/>
                <w:lang w:val="en-US"/>
              </w:rPr>
              <w:t>WI</w:t>
            </w:r>
            <w:r>
              <w:rPr>
                <w:sz w:val="22"/>
                <w:szCs w:val="22"/>
              </w:rPr>
              <w:t>-</w:t>
            </w:r>
            <w:r>
              <w:rPr>
                <w:sz w:val="22"/>
                <w:szCs w:val="22"/>
                <w:lang w:val="en-US"/>
              </w:rPr>
              <w:t>FI</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 xml:space="preserve">забезпечено підготовку щокварталу переліку місць надання публічних послуг з безоплатного доступу до Інтернету за допомогою мережі </w:t>
            </w:r>
            <w:r>
              <w:rPr>
                <w:sz w:val="22"/>
                <w:szCs w:val="22"/>
                <w:lang w:val="en-US"/>
              </w:rPr>
              <w:t>WI</w:t>
            </w:r>
            <w:r>
              <w:rPr>
                <w:sz w:val="22"/>
                <w:szCs w:val="22"/>
              </w:rPr>
              <w:t>-</w:t>
            </w:r>
            <w:r>
              <w:rPr>
                <w:sz w:val="22"/>
                <w:szCs w:val="22"/>
                <w:lang w:val="en-US"/>
              </w:rPr>
              <w:t>FI</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“Усі бажаючі просто та доступно отримують цифрові знання і навички”</w:t>
            </w:r>
          </w:p>
        </w:tc>
      </w:tr>
      <w:tr>
        <w:trPr>
          <w:trHeight w:val="23" w:hRule="atLeast"/>
        </w:trPr>
        <w:tc>
          <w:tcPr>
            <w:tcW w:w="1800" w:type="dxa"/>
            <w:tcBorders/>
          </w:tcPr>
          <w:p>
            <w:pPr>
              <w:pStyle w:val="Normal"/>
              <w:rPr>
                <w:sz w:val="22"/>
                <w:szCs w:val="22"/>
              </w:rPr>
            </w:pPr>
            <w:r>
              <w:rPr>
                <w:sz w:val="22"/>
                <w:szCs w:val="22"/>
              </w:rPr>
              <w:t>37. Розроблення освітніх матеріалів для навчання цифровим навичкам, користування асистивними технологіями для осіб з обмеженнями повсякденного функціонування</w:t>
            </w:r>
          </w:p>
        </w:tc>
        <w:tc>
          <w:tcPr>
            <w:tcW w:w="3240" w:type="dxa"/>
            <w:tcBorders/>
          </w:tcPr>
          <w:p>
            <w:pPr>
              <w:pStyle w:val="Normal"/>
              <w:rPr>
                <w:sz w:val="22"/>
                <w:szCs w:val="22"/>
              </w:rPr>
            </w:pPr>
            <w:r>
              <w:rPr>
                <w:sz w:val="22"/>
                <w:szCs w:val="22"/>
              </w:rPr>
              <w:t>1) розроблення та розміщення освітніх матеріалів щодо покращення цифрових навичок осіб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widowControl w:val="false"/>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підготовлено звіт про публікацію освітніх матеріалів на Єдиному державному веб-порталі цифрової освіти “Дія. Освіта”</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проведення інформаційних кампаній щодо освітніх курсів з цифрової грамотності осіб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звіту про результати проведення інформаційних кампаній</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“Усі громадяни мають доступ до електронних публічних послуг”</w:t>
            </w:r>
          </w:p>
        </w:tc>
      </w:tr>
      <w:tr>
        <w:trPr>
          <w:trHeight w:val="23" w:hRule="atLeast"/>
        </w:trPr>
        <w:tc>
          <w:tcPr>
            <w:tcW w:w="1800" w:type="dxa"/>
            <w:tcBorders/>
          </w:tcPr>
          <w:p>
            <w:pPr>
              <w:pStyle w:val="Normal"/>
              <w:rPr>
                <w:sz w:val="22"/>
                <w:szCs w:val="22"/>
              </w:rPr>
            </w:pPr>
            <w:r>
              <w:rPr>
                <w:sz w:val="22"/>
                <w:szCs w:val="22"/>
              </w:rPr>
              <w:t>39. Розроблення комплексних підходів щодо цифровізації сфер життя та публічних послуг</w:t>
            </w:r>
          </w:p>
        </w:tc>
        <w:tc>
          <w:tcPr>
            <w:tcW w:w="3240" w:type="dxa"/>
            <w:tcBorders/>
          </w:tcPr>
          <w:p>
            <w:pPr>
              <w:pStyle w:val="Normal"/>
              <w:rPr>
                <w:sz w:val="22"/>
                <w:szCs w:val="22"/>
              </w:rPr>
            </w:pPr>
            <w:r>
              <w:rPr>
                <w:sz w:val="22"/>
                <w:szCs w:val="22"/>
              </w:rPr>
              <w:t>1) забезпечення співпраці з партнерами з розвитку і проектами міжнародної технічної допомоги щодо здійснення заходів з цифрової безбарʼєрності в рамках виконання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 xml:space="preserve">забезпечено підготовку щокварталу звіту про результати співпраці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2) проведення навчання  працівників надавачів соціальних послуг з питань цифрової грамотності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забезпечено підготовку щокварталу звіту про результати навчання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3) проведення навчання працівників закладів соціальної інфраструктури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забезпечено підготовку щокварталу звіту про результати навчання</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для працівників бібліотек навчальних вебінарів щодо надання цифрових послуг особам з інвалідністю та особам старшого віку</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підготовлено щокварталу звіт про кількість працівників бібліотек, які пройшли навчання</w:t>
            </w:r>
          </w:p>
        </w:tc>
      </w:tr>
      <w:tr>
        <w:trPr>
          <w:trHeight w:val="7014" w:hRule="atLeast"/>
        </w:trPr>
        <w:tc>
          <w:tcPr>
            <w:tcW w:w="1800" w:type="dxa"/>
            <w:tcBorders/>
          </w:tcPr>
          <w:p>
            <w:pPr>
              <w:pStyle w:val="Normal"/>
              <w:rPr>
                <w:sz w:val="22"/>
                <w:szCs w:val="22"/>
              </w:rPr>
            </w:pPr>
            <w:r>
              <w:rPr>
                <w:sz w:val="22"/>
                <w:szCs w:val="22"/>
              </w:rPr>
              <w:t>42. Забезпечення пріоритетної модернізації ключових онлайн-ресурсів органів державної влади для забезпечення відповідності вимогам щодо цифрової доступності відповідно до постанови Кабінету Міністрів України від 21 липня 2023 р. № 757 “Деякі питання доступності інформаційно-комунікаційних систем та документів в електронній формі”</w:t>
            </w:r>
          </w:p>
        </w:tc>
        <w:tc>
          <w:tcPr>
            <w:tcW w:w="3240" w:type="dxa"/>
            <w:tcBorders/>
          </w:tcPr>
          <w:p>
            <w:pPr>
              <w:pStyle w:val="Normal"/>
              <w:rPr>
                <w:sz w:val="22"/>
                <w:szCs w:val="22"/>
              </w:rPr>
            </w:pPr>
            <w:r>
              <w:rPr>
                <w:sz w:val="22"/>
                <w:szCs w:val="22"/>
              </w:rPr>
              <w:t>22) актуалізація сайтів обласних бібліотек та бібліотек м. Києва відповідно до вимог щодо доступності онлайн-ресурсів та онлайн-контенту</w:t>
            </w:r>
          </w:p>
          <w:p>
            <w:pPr>
              <w:pStyle w:val="Normal"/>
              <w:rPr>
                <w:sz w:val="22"/>
                <w:szCs w:val="22"/>
              </w:rPr>
            </w:pPr>
            <w:r>
              <w:rPr>
                <w:sz w:val="22"/>
                <w:szCs w:val="22"/>
              </w:rPr>
            </w:r>
          </w:p>
        </w:tc>
        <w:tc>
          <w:tcPr>
            <w:tcW w:w="3540" w:type="dxa"/>
            <w:tcBorders/>
          </w:tcPr>
          <w:p>
            <w:pPr>
              <w:pStyle w:val="Normal"/>
              <w:tabs>
                <w:tab w:val="clear" w:pos="708"/>
                <w:tab w:val="left" w:pos="1164" w:leader="none"/>
              </w:tab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p>
            <w:pPr>
              <w:pStyle w:val="Normal"/>
              <w:rPr>
                <w:sz w:val="22"/>
                <w:szCs w:val="22"/>
              </w:rPr>
            </w:pPr>
            <w:r>
              <w:rPr>
                <w:sz w:val="22"/>
                <w:szCs w:val="22"/>
              </w:rPr>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22"/>
                <w:szCs w:val="22"/>
              </w:rPr>
            </w:pPr>
            <w:r>
              <w:rPr>
                <w:sz w:val="22"/>
                <w:szCs w:val="22"/>
              </w:rPr>
            </w:r>
          </w:p>
        </w:tc>
        <w:tc>
          <w:tcPr>
            <w:tcW w:w="2066" w:type="dxa"/>
            <w:tcBorders/>
          </w:tcPr>
          <w:p>
            <w:pPr>
              <w:pStyle w:val="Normal"/>
              <w:widowControl w:val="false"/>
              <w:rPr>
                <w:sz w:val="22"/>
                <w:szCs w:val="22"/>
              </w:rPr>
            </w:pPr>
            <w:r>
              <w:rPr>
                <w:sz w:val="22"/>
                <w:szCs w:val="22"/>
              </w:rPr>
              <w:t>підготовлено звіт про кількість актуалізованих сайтів  бібліотек</w:t>
            </w:r>
          </w:p>
          <w:p>
            <w:pPr>
              <w:pStyle w:val="Normal"/>
              <w:rPr>
                <w:sz w:val="22"/>
                <w:szCs w:val="22"/>
              </w:rPr>
            </w:pPr>
            <w:r>
              <w:rPr>
                <w:sz w:val="22"/>
                <w:szCs w:val="22"/>
              </w:rPr>
            </w:r>
          </w:p>
        </w:tc>
      </w:tr>
      <w:tr>
        <w:trPr>
          <w:trHeight w:val="5436" w:hRule="atLeast"/>
        </w:trPr>
        <w:tc>
          <w:tcPr>
            <w:tcW w:w="1800" w:type="dxa"/>
            <w:tcBorders/>
          </w:tcPr>
          <w:p>
            <w:pPr>
              <w:pStyle w:val="Normal"/>
              <w:rPr>
                <w:sz w:val="22"/>
                <w:szCs w:val="22"/>
              </w:rPr>
            </w:pPr>
            <w:r>
              <w:rPr>
                <w:sz w:val="22"/>
                <w:szCs w:val="22"/>
              </w:rPr>
              <w:t xml:space="preserve">46. Забезпечення сприяння уніфікації веб-сайтів органів місцевого самоврядування (за згодою) відповідно до постанови Кабінету Міністрів України від </w:t>
              <w:br/>
              <w:t xml:space="preserve">4 січня 2002 р. № 3 “Про Порядок оприлюднення у мережі Інтернет інформації про діяльність органів виконавчої влади” </w:t>
            </w:r>
          </w:p>
        </w:tc>
        <w:tc>
          <w:tcPr>
            <w:tcW w:w="3240" w:type="dxa"/>
            <w:tcBorders/>
          </w:tcPr>
          <w:p>
            <w:pPr>
              <w:pStyle w:val="Normal"/>
              <w:rPr>
                <w:sz w:val="22"/>
                <w:szCs w:val="22"/>
              </w:rPr>
            </w:pPr>
            <w:r>
              <w:rPr>
                <w:sz w:val="22"/>
                <w:szCs w:val="22"/>
              </w:rPr>
              <w:t>2) проведення перевірки веб-сайтів органів місцевого самоврядування і подання результатів обласним та Київській міській держадміністраціям (військовим адміністраціям)</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цифрового розвитку, цифрових трансформацій і цифровізації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sz w:val="22"/>
                <w:szCs w:val="22"/>
              </w:rPr>
            </w:pPr>
            <w:r>
              <w:rPr>
                <w:sz w:val="22"/>
                <w:szCs w:val="22"/>
              </w:rPr>
              <w:t>підготовлено звіт про результати проведення перевірки</w:t>
            </w:r>
          </w:p>
        </w:tc>
      </w:tr>
      <w:tr>
        <w:trPr>
          <w:trHeight w:val="23" w:hRule="atLeast"/>
        </w:trPr>
        <w:tc>
          <w:tcPr>
            <w:tcW w:w="15026" w:type="dxa"/>
            <w:gridSpan w:val="6"/>
            <w:tcBorders/>
          </w:tcPr>
          <w:p>
            <w:pPr>
              <w:pStyle w:val="Normal"/>
              <w:spacing w:before="120" w:after="0"/>
              <w:ind w:start="-40" w:end="-108" w:hanging="0"/>
              <w:jc w:val="center"/>
              <w:rPr>
                <w:b/>
                <w:b/>
                <w:sz w:val="22"/>
                <w:szCs w:val="22"/>
              </w:rPr>
            </w:pPr>
            <w:r>
              <w:rPr>
                <w:b/>
                <w:sz w:val="22"/>
                <w:szCs w:val="22"/>
              </w:rPr>
              <w:t>Напрям 4. Суспільна та громадянська безбар’єрність</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 xml:space="preserve">Стратегічна ціль “Різні суспільні групи користуються рівними правами та можливостями для залучення в процес </w:t>
              <w:br/>
              <w:t>ухвалення рішень та громадської участі”</w:t>
            </w:r>
          </w:p>
        </w:tc>
      </w:tr>
      <w:tr>
        <w:trPr>
          <w:trHeight w:val="23" w:hRule="atLeast"/>
        </w:trPr>
        <w:tc>
          <w:tcPr>
            <w:tcW w:w="1800" w:type="dxa"/>
            <w:tcBorders/>
          </w:tcPr>
          <w:p>
            <w:pPr>
              <w:pStyle w:val="Normal"/>
              <w:rPr>
                <w:sz w:val="22"/>
                <w:szCs w:val="22"/>
              </w:rPr>
            </w:pPr>
            <w:r>
              <w:rPr>
                <w:sz w:val="22"/>
                <w:szCs w:val="22"/>
              </w:rPr>
              <w:t>47. Забезпечення розвитку обізнаності громадян про питання безбар’єрності та політики держави у цій сфері</w:t>
            </w:r>
          </w:p>
        </w:tc>
        <w:tc>
          <w:tcPr>
            <w:tcW w:w="3240" w:type="dxa"/>
            <w:tcBorders/>
          </w:tcPr>
          <w:p>
            <w:pPr>
              <w:pStyle w:val="Normal"/>
              <w:rPr>
                <w:sz w:val="22"/>
                <w:szCs w:val="22"/>
              </w:rPr>
            </w:pPr>
            <w:r>
              <w:rPr>
                <w:sz w:val="22"/>
                <w:szCs w:val="22"/>
              </w:rPr>
              <w:t>1) проведення комунікаційної кампанії для всіх суспільних груп з підвищення рівня обізнаності про права і можливості залучення громадськості до процесу ухвалення рішень у сфері безбар’єрності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публікацію щокварталу на офіційному веб-сайті МКСК або іншому офіційному ресурсі звіту про результати проведення комунікаційної кампанії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навчальних заходів для лідерів молодіжних громадських організацій щодо безбар’єрності в громадській діяльності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квітень — вересень 2025 р.</w:t>
            </w:r>
          </w:p>
        </w:tc>
        <w:tc>
          <w:tcPr>
            <w:tcW w:w="2340" w:type="dxa"/>
            <w:tcBorders/>
          </w:tcPr>
          <w:p>
            <w:pPr>
              <w:pStyle w:val="Normal"/>
              <w:widowControl w:val="false"/>
              <w:rPr>
                <w:sz w:val="22"/>
                <w:szCs w:val="22"/>
              </w:rPr>
            </w:pPr>
            <w:r>
              <w:rPr>
                <w:sz w:val="22"/>
                <w:szCs w:val="22"/>
              </w:rPr>
              <w:t>Івано-Франківський регіональний центр підвищення кваліфікації</w:t>
            </w:r>
          </w:p>
          <w:p>
            <w:pPr>
              <w:pStyle w:val="Normal"/>
              <w:widowControl w:val="false"/>
              <w:rPr>
                <w:sz w:val="8"/>
                <w:szCs w:val="8"/>
              </w:rPr>
            </w:pPr>
            <w:r>
              <w:rPr>
                <w:sz w:val="8"/>
                <w:szCs w:val="8"/>
              </w:rPr>
            </w:r>
          </w:p>
          <w:p>
            <w:pPr>
              <w:pStyle w:val="Normal"/>
              <w:widowControl w:val="false"/>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rPr>
                <w:sz w:val="22"/>
                <w:szCs w:val="22"/>
              </w:rPr>
            </w:pPr>
            <w:r>
              <w:rPr>
                <w:sz w:val="22"/>
                <w:szCs w:val="22"/>
              </w:rPr>
              <w:t>підготовлено звіт про проведення навчальних заходів для лідерів молодіжних громадських організацій</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5) розроблення комунікаційних планів з визначенням тематики, строків, спікерів, шляхів поширення інформації та подання їх МКСК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розроблено комунікаційні плани</w:t>
            </w:r>
          </w:p>
        </w:tc>
      </w:tr>
      <w:tr>
        <w:trPr>
          <w:trHeight w:val="23" w:hRule="atLeast"/>
        </w:trPr>
        <w:tc>
          <w:tcPr>
            <w:tcW w:w="1800" w:type="dxa"/>
            <w:tcBorders/>
          </w:tcPr>
          <w:p>
            <w:pPr>
              <w:pStyle w:val="Normal"/>
              <w:rPr>
                <w:sz w:val="22"/>
                <w:szCs w:val="22"/>
              </w:rPr>
            </w:pPr>
            <w:r>
              <w:rPr>
                <w:sz w:val="22"/>
                <w:szCs w:val="22"/>
              </w:rPr>
              <w:t>48. Розвиток громадянської освіти дорослих, дітей та молоді для всіх суспільних груп</w:t>
            </w:r>
          </w:p>
        </w:tc>
        <w:tc>
          <w:tcPr>
            <w:tcW w:w="3240" w:type="dxa"/>
            <w:tcBorders/>
          </w:tcPr>
          <w:p>
            <w:pPr>
              <w:pStyle w:val="Normal"/>
              <w:rPr>
                <w:sz w:val="22"/>
                <w:szCs w:val="22"/>
              </w:rPr>
            </w:pPr>
            <w:r>
              <w:rPr>
                <w:sz w:val="22"/>
                <w:szCs w:val="22"/>
              </w:rPr>
              <w:t xml:space="preserve">1) забезпечено проведення освітньо-виховних, інформаційно просвітницьких заходів з молодіжними працівниками, представниками молодіжних центрів та просторів, молодіжних консультативно-дорадчих органів та активної молоді для забезпечення необхідними інструментами, підвищення  рівня їх спроможності та якості роботи з різними категоріями  молоді (зокрема особами з інвалідністю та внутрішньо переміщеними особами,  які постраждали внаслідок збройної агресії проти України) для її залучення до громадянського та  політичного життя, а також розбудови громадянського  суспільства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забезпечено публікацію щокварталу на офіційному веб-сайті Мінмолодьспорту звіту про результати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проведення з представниками органів учнівського та студентського самоврядування просвітницьких заходів щодо залучення їх до життя громад</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widowControl w:val="false"/>
              <w:rPr>
                <w:sz w:val="22"/>
                <w:szCs w:val="22"/>
              </w:rPr>
            </w:pPr>
            <w:r>
              <w:rPr>
                <w:sz w:val="22"/>
                <w:szCs w:val="22"/>
              </w:rPr>
              <w:t>забезпечено підготовку щокварталу звіту про проведення просвітницьких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запровадження у закладах загальної середньої та професійно-технічної освіти години спілкування та позакласних заходів щодо коректної мови, гідного ставлення до всіх громадян, включаючи осіб старшого віку та осіб з інвалідністю, осіб з інвалідністю внаслідок війни, ветеранів війни, формування поваги до людей незалежно від віку і виховання солідарності між поколіннями та недопущення дискримінації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 —червень 2025 р.</w:t>
            </w:r>
          </w:p>
        </w:tc>
        <w:tc>
          <w:tcPr>
            <w:tcW w:w="2340" w:type="dxa"/>
            <w:tcBorders/>
          </w:tcPr>
          <w:p>
            <w:pPr>
              <w:pStyle w:val="Normal"/>
              <w:widowControl w:val="false"/>
              <w:rPr>
                <w:sz w:val="22"/>
                <w:szCs w:val="22"/>
              </w:rPr>
            </w:pPr>
            <w:r>
              <w:rPr>
                <w:sz w:val="22"/>
                <w:szCs w:val="22"/>
              </w:rPr>
              <w:t>Департамент освіти і науки 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Управління з питань ветеранської політики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підготовлено довідку щодо запровадження години спілкування та позакласних заходів, звіт про результати проведення заходів</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розроблення, затвердження та розповсюдження в органах державної влади та органах місцевого самоврядування методичних рекомендацій щодо публічних консультацій та інших форм діалогу із залученням всіх суспільних груп</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 xml:space="preserve">затверджено методичні рекомендації </w:t>
            </w:r>
          </w:p>
        </w:tc>
      </w:tr>
      <w:tr>
        <w:trPr>
          <w:trHeight w:val="23" w:hRule="atLeast"/>
        </w:trPr>
        <w:tc>
          <w:tcPr>
            <w:tcW w:w="1800" w:type="dxa"/>
            <w:tcBorders/>
          </w:tcPr>
          <w:p>
            <w:pPr>
              <w:pStyle w:val="Normal"/>
              <w:rPr>
                <w:sz w:val="22"/>
                <w:szCs w:val="22"/>
              </w:rPr>
            </w:pPr>
            <w:r>
              <w:rPr>
                <w:sz w:val="22"/>
                <w:szCs w:val="22"/>
              </w:rPr>
              <w:t>49. Розвиток практики організації органами державної влади, органами місцевого самоврядування публічних консультацій та інших форм діалогу із залученням всіх суспільних груп</w:t>
            </w:r>
          </w:p>
        </w:tc>
        <w:tc>
          <w:tcPr>
            <w:tcW w:w="3240" w:type="dxa"/>
            <w:tcBorders/>
          </w:tcPr>
          <w:p>
            <w:pPr>
              <w:pStyle w:val="Normal"/>
              <w:rPr>
                <w:sz w:val="22"/>
                <w:szCs w:val="22"/>
              </w:rPr>
            </w:pPr>
            <w:r>
              <w:rPr>
                <w:sz w:val="22"/>
                <w:szCs w:val="22"/>
              </w:rPr>
              <w:t>1) розроблення та затвердження положення про застосування в Україні міжнародних гуманітарних стандартів щодо залучення постраждалого населення до участі в консультаціях та інших формах діалогу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highlight w:val="white"/>
              </w:rPr>
              <w:t>Департамент міжнародного співробітництва та євроінтеграції громад</w:t>
            </w:r>
            <w:r>
              <w:rPr>
                <w:sz w:val="22"/>
                <w:szCs w:val="22"/>
              </w:rPr>
              <w:t xml:space="preserve"> Івано-Франківської облдержадміністрації</w:t>
            </w:r>
          </w:p>
        </w:tc>
        <w:tc>
          <w:tcPr>
            <w:tcW w:w="2066" w:type="dxa"/>
            <w:tcBorders/>
          </w:tcPr>
          <w:p>
            <w:pPr>
              <w:pStyle w:val="Normal"/>
              <w:rPr>
                <w:sz w:val="22"/>
                <w:szCs w:val="22"/>
              </w:rPr>
            </w:pPr>
            <w:r>
              <w:rPr>
                <w:sz w:val="22"/>
                <w:szCs w:val="22"/>
              </w:rPr>
              <w:t>затверджено положення про застосування в Україні міжнародних гуманітарних стандартів щодо залучення постраждалого населення до участі в консультаціях та інших формах діалогу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забезпечення проведення суспільно-політичних та культурних заходів за участю ветеранів війни та різних груп населення, спрямованих на впровадження практики ведення діалогу (медіації)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Управління з питань ветеранської політики Івано-Франківської облдержадміністрації</w:t>
            </w:r>
          </w:p>
        </w:tc>
        <w:tc>
          <w:tcPr>
            <w:tcW w:w="2066" w:type="dxa"/>
            <w:tcBorders/>
          </w:tcPr>
          <w:p>
            <w:pPr>
              <w:pStyle w:val="Normal"/>
              <w:widowControl w:val="false"/>
              <w:rPr>
                <w:sz w:val="22"/>
                <w:szCs w:val="22"/>
              </w:rPr>
            </w:pPr>
            <w:r>
              <w:rPr>
                <w:sz w:val="22"/>
                <w:szCs w:val="22"/>
              </w:rPr>
              <w:t>підготовлено звіт про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сприяння участі дітей та молоді, у тому числі дітей та молоді з інвалідністю, дітей та молоді з числа внутрішньо переміщених осіб, у суспільному житті, зокрема шляхом участі у діяльності молодіжних консультативно-дорадчих органів, громадських об’єднань</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widowControl w:val="false"/>
              <w:rPr>
                <w:sz w:val="22"/>
                <w:szCs w:val="22"/>
              </w:rPr>
            </w:pPr>
            <w:r>
              <w:rPr>
                <w:sz w:val="22"/>
                <w:szCs w:val="22"/>
              </w:rPr>
              <w:t>забезпечено підготовку щороку звіту про проведення заходів</w:t>
            </w:r>
          </w:p>
        </w:tc>
      </w:tr>
      <w:tr>
        <w:trPr>
          <w:trHeight w:val="23" w:hRule="atLeast"/>
        </w:trPr>
        <w:tc>
          <w:tcPr>
            <w:tcW w:w="1800" w:type="dxa"/>
            <w:vMerge w:val="restart"/>
            <w:tcBorders/>
          </w:tcPr>
          <w:p>
            <w:pPr>
              <w:pStyle w:val="Normal"/>
              <w:widowControl w:val="false"/>
              <w:rPr>
                <w:sz w:val="22"/>
                <w:szCs w:val="22"/>
              </w:rPr>
            </w:pPr>
            <w:r>
              <w:rPr>
                <w:sz w:val="22"/>
                <w:szCs w:val="22"/>
              </w:rPr>
              <w:t>50. Створення умов для залучення жителів до розв’язання проблем місцевого значення, розвитку форм місцевої демократії, підтримки місцевих ініціатив, зокрема через грантове фінансування</w:t>
            </w:r>
          </w:p>
        </w:tc>
        <w:tc>
          <w:tcPr>
            <w:tcW w:w="3240" w:type="dxa"/>
            <w:tcBorders/>
          </w:tcPr>
          <w:p>
            <w:pPr>
              <w:pStyle w:val="Normal"/>
              <w:rPr>
                <w:sz w:val="22"/>
                <w:szCs w:val="22"/>
              </w:rPr>
            </w:pPr>
            <w:r>
              <w:rPr>
                <w:sz w:val="22"/>
                <w:szCs w:val="22"/>
              </w:rPr>
              <w:t>1) визначення механізму залучення грантового фінансування та менторської підтримки для розв’язання проблем місцевого значення для органів самоорганізації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sz w:val="22"/>
                <w:szCs w:val="22"/>
                <w:highlight w:val="white"/>
              </w:rPr>
              <w:t>Департамент міжнародного співробітництва та євроінтеграції громад</w:t>
            </w:r>
            <w:r>
              <w:rPr>
                <w:sz w:val="22"/>
                <w:szCs w:val="22"/>
              </w:rPr>
              <w:t xml:space="preserve">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widowControl w:val="false"/>
              <w:rPr>
                <w:sz w:val="22"/>
                <w:szCs w:val="22"/>
              </w:rPr>
            </w:pPr>
            <w:r>
              <w:rPr>
                <w:sz w:val="22"/>
                <w:szCs w:val="22"/>
              </w:rPr>
              <w:t>визначено механізм залучення грантового фінансування та менторської підтримки для розв’язання проблем місцевого значення для органів самоорганізації населення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 забезпечення створення відповідної інфраструктури (центрів громадськості, коворкінгів, бібліотечних просторів, центрів життєстійкості, ветеранських просторів тощо) з метою розв’язання проблем місцевого значення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про результати забезпечення створення відповідної інфраструктури (центрів громадськості, коворкінгів, бібліотечних просторів, центрів життєстійкості, ветеранських просторів тощо) з метою розв’язання проблем місцевого значення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здійснення заходів з підтримки органів самоорганізації населення (будинкових, вуличних комітетів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підготовлено довідку про результати здійснення заходів з підтримки органів самоорганізації населення (будинкових, вуличних комітетів тощо)</w:t>
            </w:r>
          </w:p>
        </w:tc>
      </w:tr>
      <w:tr>
        <w:trPr>
          <w:trHeight w:val="3156" w:hRule="atLeast"/>
        </w:trPr>
        <w:tc>
          <w:tcPr>
            <w:tcW w:w="1800" w:type="dxa"/>
            <w:tcBorders/>
          </w:tcPr>
          <w:p>
            <w:pPr>
              <w:pStyle w:val="Normal"/>
              <w:widowControl w:val="false"/>
              <w:rPr>
                <w:sz w:val="22"/>
                <w:szCs w:val="22"/>
              </w:rPr>
            </w:pPr>
            <w:r>
              <w:rPr>
                <w:sz w:val="22"/>
                <w:szCs w:val="22"/>
              </w:rPr>
              <w:t>51. Забезпечення рівних можливостей участі у виборчому процесі та референдумах в Україні для всіх суспільних груп</w:t>
            </w:r>
          </w:p>
        </w:tc>
        <w:tc>
          <w:tcPr>
            <w:tcW w:w="3240" w:type="dxa"/>
            <w:tcBorders/>
          </w:tcPr>
          <w:p>
            <w:pPr>
              <w:pStyle w:val="Normal"/>
              <w:rPr>
                <w:sz w:val="22"/>
                <w:szCs w:val="22"/>
              </w:rPr>
            </w:pPr>
            <w:r>
              <w:rPr>
                <w:sz w:val="22"/>
                <w:szCs w:val="22"/>
              </w:rPr>
              <w:t>4) проведення моніторингу забезпечення осіб з інвалідністю та інших маломобільних груп населення засобами доступності до приміщень для голосування розумним пристосуванням (допоміжними засобами), визначення їх примірного переліку та видів з відповідною класифікацією функціонування, обмеження життєдіяльності та здоров’я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rStyle w:val="StrongEmphasis"/>
                <w:b w:val="false"/>
                <w:bCs w:val="false"/>
                <w:sz w:val="22"/>
                <w:szCs w:val="22"/>
                <w:shd w:fill="FFFFFF" w:val="clear"/>
              </w:rPr>
              <w:t>Відділ адміністрування Державного реєстру виборців</w:t>
            </w:r>
            <w:r>
              <w:rPr>
                <w:sz w:val="22"/>
                <w:szCs w:val="22"/>
              </w:rPr>
              <w:t xml:space="preserve"> апарату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результати проведення моніторингу (у разі проведення загальнонаціональних виборів)</w:t>
            </w:r>
          </w:p>
        </w:tc>
      </w:tr>
      <w:tr>
        <w:trPr>
          <w:trHeight w:val="23" w:hRule="atLeast"/>
        </w:trPr>
        <w:tc>
          <w:tcPr>
            <w:tcW w:w="1800" w:type="dxa"/>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проведення аналізу доступності приміщень виборчих комісій та приміщень для голосування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2025—2026 роки</w:t>
            </w:r>
          </w:p>
        </w:tc>
        <w:tc>
          <w:tcPr>
            <w:tcW w:w="2340" w:type="dxa"/>
            <w:tcBorders/>
          </w:tcPr>
          <w:p>
            <w:pPr>
              <w:pStyle w:val="Normal"/>
              <w:rPr>
                <w:sz w:val="22"/>
                <w:szCs w:val="22"/>
              </w:rPr>
            </w:pPr>
            <w:r>
              <w:rPr>
                <w:rStyle w:val="StrongEmphasis"/>
                <w:b w:val="false"/>
                <w:bCs w:val="false"/>
                <w:sz w:val="22"/>
                <w:szCs w:val="22"/>
                <w:shd w:fill="FFFFFF" w:val="clear"/>
              </w:rPr>
              <w:t>Відділ адміністрування Державного реєстру виборців</w:t>
            </w:r>
            <w:r>
              <w:rPr>
                <w:sz w:val="22"/>
                <w:szCs w:val="22"/>
              </w:rPr>
              <w:t xml:space="preserve"> апарату Івано-Франківської облдержадміністрації </w:t>
            </w:r>
          </w:p>
        </w:tc>
        <w:tc>
          <w:tcPr>
            <w:tcW w:w="2066" w:type="dxa"/>
            <w:tcBorders/>
          </w:tcPr>
          <w:p>
            <w:pPr>
              <w:pStyle w:val="Normal"/>
              <w:rPr>
                <w:sz w:val="22"/>
                <w:szCs w:val="22"/>
              </w:rPr>
            </w:pPr>
            <w:r>
              <w:rPr>
                <w:sz w:val="22"/>
                <w:szCs w:val="22"/>
              </w:rPr>
              <w:t>підготовлено звіт про результати проведення аналізу (у разі проведення загальнонаціональних виборів)</w:t>
            </w:r>
          </w:p>
        </w:tc>
      </w:tr>
      <w:tr>
        <w:trPr>
          <w:trHeight w:val="23" w:hRule="atLeast"/>
        </w:trPr>
        <w:tc>
          <w:tcPr>
            <w:tcW w:w="1800" w:type="dxa"/>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6) розроблення рекомендацій для органів місцевого самоврядування, центральних і місцевих органів виконавчої влади щодо забезпечення доступності приміщень виборчих комісій та приміщень для голосування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pPr>
            <w:r>
              <w:rPr>
                <w:rStyle w:val="StrongEmphasis"/>
                <w:b w:val="false"/>
                <w:bCs w:val="false"/>
                <w:sz w:val="22"/>
                <w:szCs w:val="22"/>
                <w:shd w:fill="FFFFFF" w:val="clear"/>
              </w:rPr>
              <w:t>Відділ адміністрування Державного реєстру виборців</w:t>
            </w:r>
            <w:r>
              <w:rPr>
                <w:sz w:val="22"/>
                <w:szCs w:val="22"/>
              </w:rPr>
              <w:t xml:space="preserve"> апарату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розроблено та схвалено рекомендації</w:t>
            </w:r>
          </w:p>
        </w:tc>
      </w:tr>
      <w:tr>
        <w:trPr>
          <w:trHeight w:val="3792" w:hRule="atLeast"/>
        </w:trPr>
        <w:tc>
          <w:tcPr>
            <w:tcW w:w="1800" w:type="dxa"/>
            <w:tcBorders/>
          </w:tcPr>
          <w:p>
            <w:pPr>
              <w:pStyle w:val="Normal"/>
              <w:rPr>
                <w:sz w:val="22"/>
                <w:szCs w:val="22"/>
              </w:rPr>
            </w:pPr>
            <w:r>
              <w:rPr>
                <w:sz w:val="22"/>
                <w:szCs w:val="22"/>
              </w:rPr>
              <w:t>52. Створення умов для залучення інститутів громадянського суспільства до формування, реалізації, моніторингу та оцінки політики безбарʼєрності на національному та місцевому рівні</w:t>
            </w:r>
          </w:p>
        </w:tc>
        <w:tc>
          <w:tcPr>
            <w:tcW w:w="3240" w:type="dxa"/>
            <w:tcBorders/>
          </w:tcPr>
          <w:p>
            <w:pPr>
              <w:pStyle w:val="Normal"/>
              <w:rPr>
                <w:sz w:val="22"/>
                <w:szCs w:val="22"/>
              </w:rPr>
            </w:pPr>
            <w:r>
              <w:rPr>
                <w:sz w:val="22"/>
                <w:szCs w:val="22"/>
              </w:rPr>
              <w:t>2) забезпечення залучення інститутів громадянського суспільства до розроблення, проведення оцінки, вдосконалення інформаційних ресурсів, стратегічних документів та здійснення заходів з реалізації Національної стратегії і стратегій безбар’єрності органів місцевого самоврядування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оприлюднення щокварталу звіту про результати проведення заходів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визначення безбар’єрності одним з пріоритетних завдань для участі у конкурсі проектів, розроблених інститутами громадянського суспільства, для реалізації яких надається фінансова підтримка</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публікацію на офіційному веб-сайті Мінмолодьспорту переліку інститутів громадянського суспільства — переможців конкурсу та оприлюднення інформації про результати реалізації проектів із зазначенням назви проекту, кількості залучених осіб, зокрема осіб з інвалідністю та інших маломобільних груп населення, внутрішньо переміщених осіб</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сприяння розвитку ресурсних центрів, баз знань, навчальних центрів для забезпечення провадження ефективної діяльності інститутів громадянського суспільства щодо безбар’єрності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jc w:val="center"/>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rPr>
                <w:sz w:val="22"/>
                <w:szCs w:val="22"/>
              </w:rPr>
            </w:pPr>
            <w:r>
              <w:rPr>
                <w:sz w:val="22"/>
                <w:szCs w:val="22"/>
              </w:rPr>
              <w:t>підготовлено довідку щодо створення нових ресурсних центрів, баз знань, навчальних центрів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здійснення інститутами громадянського суспільства контролю, моніторингу та оцінки реалізації органами державної влади та органами місцевого самоврядування політики безбар’єрності, зокрема участь у засіданнях місцевих рад з питань безбар’єрності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забезпечення публікації щокварталу звіту про участь інститутів громадянського суспільства у здійснені контролю, моніторингу та оцінки реалізації органами державної влади та органами місцевого самоврядування політики безбар’єрності</w:t>
            </w:r>
          </w:p>
        </w:tc>
      </w:tr>
      <w:tr>
        <w:trPr>
          <w:trHeight w:val="23" w:hRule="atLeast"/>
        </w:trPr>
        <w:tc>
          <w:tcPr>
            <w:tcW w:w="1800" w:type="dxa"/>
            <w:tcBorders/>
          </w:tcPr>
          <w:p>
            <w:pPr>
              <w:pStyle w:val="Normal"/>
              <w:keepNext w:val="true"/>
              <w:widowControl w:val="false"/>
              <w:snapToGrid w:val="false"/>
              <w:rPr>
                <w:sz w:val="22"/>
                <w:szCs w:val="22"/>
              </w:rPr>
            </w:pPr>
            <w:r>
              <w:rPr>
                <w:sz w:val="22"/>
                <w:szCs w:val="22"/>
              </w:rPr>
            </w:r>
          </w:p>
        </w:tc>
        <w:tc>
          <w:tcPr>
            <w:tcW w:w="3240" w:type="dxa"/>
            <w:tcBorders/>
          </w:tcPr>
          <w:p>
            <w:pPr>
              <w:pStyle w:val="Normal"/>
              <w:keepNext w:val="true"/>
              <w:rPr>
                <w:sz w:val="22"/>
                <w:szCs w:val="22"/>
              </w:rPr>
            </w:pPr>
            <w:r>
              <w:rPr>
                <w:sz w:val="22"/>
                <w:szCs w:val="22"/>
              </w:rPr>
              <w:t>6) впровадження програми та розширення переліку інструментів зворотного зв’язку щодо врахування пропозицій та ініціатив громадськості з питань формування, реалізації, проведення моніторингу та оцінки реалізації політики безбарʼєрності на державному та місцевому рівні</w:t>
            </w:r>
          </w:p>
        </w:tc>
        <w:tc>
          <w:tcPr>
            <w:tcW w:w="3540" w:type="dxa"/>
            <w:tcBorders/>
          </w:tcPr>
          <w:p>
            <w:pPr>
              <w:pStyle w:val="Normal"/>
              <w:keepNext w:val="true"/>
              <w:snapToGrid w:val="false"/>
              <w:rPr>
                <w:sz w:val="22"/>
                <w:szCs w:val="22"/>
              </w:rPr>
            </w:pPr>
            <w:r>
              <w:rPr>
                <w:sz w:val="22"/>
                <w:szCs w:val="22"/>
              </w:rPr>
            </w:r>
          </w:p>
        </w:tc>
        <w:tc>
          <w:tcPr>
            <w:tcW w:w="2040" w:type="dxa"/>
            <w:tcBorders/>
          </w:tcPr>
          <w:p>
            <w:pPr>
              <w:pStyle w:val="Normal"/>
              <w:keepNext w:val="tru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keepNext w:val="true"/>
              <w:rPr>
                <w:sz w:val="22"/>
                <w:szCs w:val="22"/>
              </w:rPr>
            </w:pPr>
            <w:r>
              <w:rPr>
                <w:sz w:val="22"/>
                <w:szCs w:val="22"/>
              </w:rPr>
              <w:t>Органи місцевого самоврядування (за згодою)</w:t>
            </w:r>
          </w:p>
        </w:tc>
        <w:tc>
          <w:tcPr>
            <w:tcW w:w="2066" w:type="dxa"/>
            <w:tcBorders/>
          </w:tcPr>
          <w:p>
            <w:pPr>
              <w:pStyle w:val="Normal"/>
              <w:keepNext w:val="true"/>
              <w:rPr>
                <w:sz w:val="22"/>
                <w:szCs w:val="22"/>
              </w:rPr>
            </w:pPr>
            <w:r>
              <w:rPr>
                <w:sz w:val="22"/>
                <w:szCs w:val="22"/>
              </w:rPr>
              <w:t>сформовано перелік розроблених інструментів зворотного зв’язку щодо врахування пропозицій та ініціатив громадськості з питань формування, реалізації, проведення моніторингу та оцінки реалізації політики безбарʼєрності на державному та місцевому рівні</w:t>
            </w:r>
          </w:p>
        </w:tc>
      </w:tr>
      <w:tr>
        <w:trPr>
          <w:trHeight w:val="23" w:hRule="atLeast"/>
        </w:trPr>
        <w:tc>
          <w:tcPr>
            <w:tcW w:w="15026" w:type="dxa"/>
            <w:gridSpan w:val="6"/>
            <w:tcBorders/>
            <w:shd w:fill="FFFFFF" w:val="clear"/>
          </w:tcPr>
          <w:p>
            <w:pPr>
              <w:pStyle w:val="Normal"/>
              <w:spacing w:before="120" w:after="0"/>
              <w:ind w:start="-40" w:end="-108" w:hanging="0"/>
              <w:jc w:val="center"/>
              <w:rPr>
                <w:sz w:val="22"/>
                <w:szCs w:val="22"/>
              </w:rPr>
            </w:pPr>
            <w:r>
              <w:rPr>
                <w:sz w:val="22"/>
                <w:szCs w:val="22"/>
              </w:rPr>
              <w:t>Стратегічна ціль “Суспільне прийняття, взаємоповага та згуртованість посилюють соціальний капітал у територіальних громадах”</w:t>
            </w:r>
          </w:p>
        </w:tc>
      </w:tr>
      <w:tr>
        <w:trPr>
          <w:trHeight w:val="23" w:hRule="atLeast"/>
        </w:trPr>
        <w:tc>
          <w:tcPr>
            <w:tcW w:w="1800" w:type="dxa"/>
            <w:tcBorders/>
          </w:tcPr>
          <w:p>
            <w:pPr>
              <w:pStyle w:val="Normal"/>
              <w:rPr>
                <w:sz w:val="22"/>
                <w:szCs w:val="22"/>
              </w:rPr>
            </w:pPr>
            <w:r>
              <w:rPr>
                <w:sz w:val="22"/>
                <w:szCs w:val="22"/>
              </w:rPr>
              <w:t>53. Проведення просвітницьких кампаній щодо підвищення рівня толерантності, недискримінації, розуміння цінностей різноманіття та суспільного прийняття, поваги, безбар’єрної комунікації і коректної мови спілкування</w:t>
            </w:r>
          </w:p>
        </w:tc>
        <w:tc>
          <w:tcPr>
            <w:tcW w:w="3240" w:type="dxa"/>
            <w:tcBorders/>
          </w:tcPr>
          <w:p>
            <w:pPr>
              <w:pStyle w:val="Normal"/>
              <w:rPr>
                <w:sz w:val="22"/>
                <w:szCs w:val="22"/>
              </w:rPr>
            </w:pPr>
            <w:r>
              <w:rPr>
                <w:sz w:val="22"/>
                <w:szCs w:val="22"/>
              </w:rPr>
              <w:t>1) проведення просвітницької кампанії на рівні територіальних громад щодо толерантного ставлення, використання чутливої мови спілкування, недопущення дискримінації та булінгу осіб з інвалідністю, осіб з інвалідністю внаслідок війни, осіб з особливими освітніми потребами як вагому складову інтеграції у життя громади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keepNext w:val="true"/>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щокварталу звіту щодо проведення заходів у рамках просвітницької кампанії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 проведення інформаційної кампанії щодо переваг соціальної згуртованості в громаді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щодо проведення заходів у рамках інформаційної кампанії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проведення в громадах комунікаційних заходів щодо підтримки чоловіків та жінок після завершення військової служби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highlight w:val="white"/>
              </w:rPr>
            </w:pPr>
            <w:r>
              <w:rPr>
                <w:sz w:val="8"/>
                <w:szCs w:val="8"/>
                <w:shd w:fill="FFFFFF" w:val="clear"/>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довідки щодо проведення заходів у рамках просвітницької кампанії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гендерно чутливих інформаційно-просвітницьких заходів щодо підтримки осіб, які постраждали від домашнього насильства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щодо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організація та проведення культурно-мистецьких заходів для різних категорій населення з урахуванням політики безбар’єрності та недискримінації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highlight w:val="white"/>
              </w:rPr>
            </w:pPr>
            <w:r>
              <w:rPr>
                <w:sz w:val="8"/>
                <w:szCs w:val="8"/>
                <w:shd w:fill="FFFFFF" w:val="clear"/>
              </w:rPr>
            </w:r>
          </w:p>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щороку звіту щодо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7) забезпечення проведення заходів щодо вшанування пам’яті Захисників та Захисниць України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highlight w:val="white"/>
              </w:rPr>
            </w:pPr>
            <w:r>
              <w:rPr>
                <w:sz w:val="8"/>
                <w:szCs w:val="8"/>
                <w:shd w:fill="FFFFFF" w:val="clear"/>
              </w:rPr>
            </w:r>
          </w:p>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tc>
        <w:tc>
          <w:tcPr>
            <w:tcW w:w="2066" w:type="dxa"/>
            <w:tcBorders/>
          </w:tcPr>
          <w:p>
            <w:pPr>
              <w:pStyle w:val="Normal"/>
              <w:rPr>
                <w:sz w:val="22"/>
                <w:szCs w:val="22"/>
              </w:rPr>
            </w:pPr>
            <w:r>
              <w:rPr>
                <w:sz w:val="22"/>
                <w:szCs w:val="22"/>
              </w:rPr>
              <w:t>опубліковано інформацію щодо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rPr>
                <w:sz w:val="22"/>
                <w:szCs w:val="22"/>
              </w:rPr>
            </w:pPr>
            <w:r>
              <w:rPr>
                <w:sz w:val="22"/>
                <w:szCs w:val="22"/>
              </w:rPr>
              <w:t>54. Розвиток культури громадської активності, волонтерства, взаємодопомоги та співпраці для покращення умов життя у спільнотах між жителями територіальних громад</w:t>
            </w:r>
          </w:p>
        </w:tc>
        <w:tc>
          <w:tcPr>
            <w:tcW w:w="3240" w:type="dxa"/>
            <w:tcBorders/>
          </w:tcPr>
          <w:p>
            <w:pPr>
              <w:pStyle w:val="Normal"/>
              <w:rPr>
                <w:sz w:val="22"/>
                <w:szCs w:val="22"/>
              </w:rPr>
            </w:pPr>
            <w:r>
              <w:rPr>
                <w:sz w:val="22"/>
                <w:szCs w:val="22"/>
              </w:rPr>
              <w:t>1) розроблення проектів, спрямованих на розвиток соціальної згуртованості, за результатом дослідження кращих практик</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Pr>
                <w:sz w:val="22"/>
                <w:szCs w:val="22"/>
              </w:rPr>
            </w:pPr>
            <w:r>
              <w:rPr>
                <w:sz w:val="22"/>
                <w:szCs w:val="22"/>
              </w:rPr>
              <w:t>січень — вересень 2025 р.</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tc>
        <w:tc>
          <w:tcPr>
            <w:tcW w:w="2066" w:type="dxa"/>
            <w:tcBorders/>
          </w:tcPr>
          <w:p>
            <w:pPr>
              <w:pStyle w:val="Normal"/>
              <w:rPr>
                <w:sz w:val="22"/>
                <w:szCs w:val="22"/>
              </w:rPr>
            </w:pPr>
            <w:r>
              <w:rPr>
                <w:sz w:val="22"/>
                <w:szCs w:val="22"/>
              </w:rPr>
              <w:t>розроблено та опубліковано перелік проектів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забезпечення формування принципів соціальної згуртованості в територіальних громадах за результатами дослідження кращих практик (довіра, співпраця, відчуття справедливості, повага та прийняття один одного та правил громади)</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tc>
        <w:tc>
          <w:tcPr>
            <w:tcW w:w="2066" w:type="dxa"/>
            <w:tcBorders/>
          </w:tcPr>
          <w:p>
            <w:pPr>
              <w:pStyle w:val="Normal"/>
              <w:rPr>
                <w:sz w:val="22"/>
                <w:szCs w:val="22"/>
              </w:rPr>
            </w:pPr>
            <w:r>
              <w:rPr>
                <w:sz w:val="22"/>
                <w:szCs w:val="22"/>
              </w:rPr>
              <w:t xml:space="preserve">розроблено концепцію соціальної згуртованості в територіальних громадах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проведення інформаційно-просвітницької кампанії щодо соціальної згуртованості в територіальній громаді</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Pr>
                <w:sz w:val="22"/>
                <w:szCs w:val="22"/>
              </w:rPr>
            </w:pPr>
            <w:r>
              <w:rPr>
                <w:sz w:val="22"/>
                <w:szCs w:val="22"/>
              </w:rPr>
              <w:t>2025—</w:t>
              <w:br/>
              <w:t>2026 роки</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щодо проведення заходів у рамках інформаційної кампанії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забезпечення створення умов для розвитку волонтерства та волонтерської діяльності, формування спільноти волонтерів</w:t>
            </w:r>
          </w:p>
        </w:tc>
        <w:tc>
          <w:tcPr>
            <w:tcW w:w="3540" w:type="dxa"/>
            <w:tcBorders/>
          </w:tcPr>
          <w:p>
            <w:pPr>
              <w:pStyle w:val="Normal"/>
              <w:snapToGrid w:val="false"/>
              <w:rPr>
                <w:sz w:val="22"/>
                <w:szCs w:val="22"/>
              </w:rPr>
            </w:pPr>
            <w:r>
              <w:rPr>
                <w:sz w:val="22"/>
                <w:szCs w:val="22"/>
              </w:rPr>
            </w:r>
          </w:p>
        </w:tc>
        <w:tc>
          <w:tcPr>
            <w:tcW w:w="2040" w:type="dxa"/>
            <w:tcBorders/>
          </w:tcPr>
          <w:p>
            <w:pPr>
              <w:pStyle w:val="Normal"/>
              <w:ind w:hanging="2"/>
              <w:rPr>
                <w:sz w:val="22"/>
                <w:szCs w:val="22"/>
              </w:rPr>
            </w:pPr>
            <w:r>
              <w:rPr>
                <w:sz w:val="22"/>
                <w:szCs w:val="22"/>
              </w:rPr>
              <w:t>2025 рік</w:t>
            </w:r>
          </w:p>
        </w:tc>
        <w:tc>
          <w:tcPr>
            <w:tcW w:w="2340" w:type="dxa"/>
            <w:tcBorders/>
          </w:tcPr>
          <w:p>
            <w:pPr>
              <w:pStyle w:val="Normal"/>
              <w:rPr>
                <w:sz w:val="22"/>
                <w:szCs w:val="22"/>
                <w:highlight w:val="red"/>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підготовлено довідку щодо проведення заходів із створення умов для розвитку волонтерства та волонтерської діяльності, формування спільноти волонтерів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проведення заходів з  підвищення рівня культури волонтерства серед молоді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опублікування щокварталу на офіційному веб-сайті Мінмолодьспорту звіту про результати проведення заходів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7) сприяння розвитку системи мотивації та стимулювання до волонтерства у закладах загальної середньої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widowControl w:val="false"/>
              <w:rPr>
                <w:sz w:val="22"/>
                <w:szCs w:val="22"/>
              </w:rPr>
            </w:pPr>
            <w:r>
              <w:rPr>
                <w:sz w:val="22"/>
                <w:szCs w:val="22"/>
              </w:rPr>
            </w:r>
          </w:p>
        </w:tc>
        <w:tc>
          <w:tcPr>
            <w:tcW w:w="2066" w:type="dxa"/>
            <w:tcBorders/>
          </w:tcPr>
          <w:p>
            <w:pPr>
              <w:pStyle w:val="Normal"/>
              <w:widowControl w:val="false"/>
              <w:rPr>
                <w:sz w:val="22"/>
                <w:szCs w:val="22"/>
              </w:rPr>
            </w:pPr>
            <w:r>
              <w:rPr>
                <w:sz w:val="22"/>
                <w:szCs w:val="22"/>
              </w:rPr>
              <w:t>підготовлено звіт про розвиток системи мотивації та стимулювання до волонтерства у закладах загальної середньої освіти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впровадження найкращих практик і механізмів залучення осіб з інвалідністю, молоді, осіб старшого віку, батьків з дітьми дошкільного віку до культурного життя та відродження інклюзивних практик бібліотек</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widowControl w:val="false"/>
              <w:rPr>
                <w:sz w:val="22"/>
                <w:szCs w:val="22"/>
              </w:rPr>
            </w:pPr>
            <w:r>
              <w:rPr>
                <w:sz w:val="22"/>
                <w:szCs w:val="22"/>
              </w:rPr>
              <w:t>підготовлено довідку про проведення заходів із залученням осіб з інвалідністю, молоді, осіб старшого віку, батьків з дітьми дошкільного віку до культурного життя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10) проведення заходів на державному та регіональному рівні для громадян, зокрема осіб з інвалідністю та внутрішньо переміщених осіб, спрямованих на підвищення рівня їх поінформованості про сутність держави, демократії та верховенства права, їх права та обов’язки, розвиток критичного мислення та медіа-грамотності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widowControl w:val="false"/>
              <w:rPr>
                <w:sz w:val="22"/>
                <w:szCs w:val="22"/>
              </w:rPr>
            </w:pPr>
            <w:r>
              <w:rPr>
                <w:sz w:val="22"/>
                <w:szCs w:val="22"/>
              </w:rPr>
              <w:t>Управління спорту та молодіжної політики Івано-Франківської облдержадміністрації</w:t>
            </w:r>
          </w:p>
          <w:p>
            <w:pPr>
              <w:pStyle w:val="Normal"/>
              <w:widowControl w:val="false"/>
              <w:rPr>
                <w:sz w:val="8"/>
                <w:szCs w:val="8"/>
              </w:rPr>
            </w:pPr>
            <w:r>
              <w:rPr>
                <w:sz w:val="8"/>
                <w:szCs w:val="8"/>
              </w:rPr>
            </w:r>
          </w:p>
          <w:p>
            <w:pPr>
              <w:pStyle w:val="Normal"/>
              <w:widowControl w:val="false"/>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widowControl w:val="false"/>
              <w:rPr>
                <w:sz w:val="22"/>
                <w:szCs w:val="22"/>
              </w:rPr>
            </w:pPr>
            <w:r>
              <w:rPr>
                <w:sz w:val="22"/>
                <w:szCs w:val="22"/>
              </w:rPr>
              <w:t>забезпечено опублікування щороку звіту щодо проведення заходів із зазначенням кількості учасників, кількості проведених заходів, типів та тематики заходів, дати їх проведення тощо</w:t>
            </w:r>
          </w:p>
        </w:tc>
      </w:tr>
      <w:tr>
        <w:trPr>
          <w:trHeight w:val="23" w:hRule="atLeast"/>
        </w:trPr>
        <w:tc>
          <w:tcPr>
            <w:tcW w:w="1800" w:type="dxa"/>
            <w:tcBorders/>
          </w:tcPr>
          <w:p>
            <w:pPr>
              <w:pStyle w:val="Normal"/>
              <w:rPr>
                <w:sz w:val="22"/>
                <w:szCs w:val="22"/>
              </w:rPr>
            </w:pPr>
            <w:r>
              <w:rPr>
                <w:sz w:val="22"/>
                <w:szCs w:val="22"/>
              </w:rPr>
              <w:t>56. Розвиток публічної інфраструктури для соціального залучення та громадської активності (соціальні клуби, паркові зони, коворкінги, центри громадської участі, ветеранські простори, бібліотеки тощо)</w:t>
            </w:r>
          </w:p>
        </w:tc>
        <w:tc>
          <w:tcPr>
            <w:tcW w:w="3240" w:type="dxa"/>
            <w:tcBorders/>
          </w:tcPr>
          <w:p>
            <w:pPr>
              <w:pStyle w:val="Normal"/>
              <w:rPr>
                <w:sz w:val="22"/>
                <w:szCs w:val="22"/>
              </w:rPr>
            </w:pPr>
            <w:r>
              <w:rPr>
                <w:sz w:val="22"/>
                <w:szCs w:val="22"/>
              </w:rPr>
              <w:t xml:space="preserve">1) визначення місця для соціальної взаємодії і створення умов для доступності (хаби, соціальні клуби, ветеранські простори тощо)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2025—2026 роки</w:t>
            </w:r>
          </w:p>
        </w:tc>
        <w:tc>
          <w:tcPr>
            <w:tcW w:w="2340" w:type="dxa"/>
            <w:tcBorders/>
          </w:tcPr>
          <w:p>
            <w:pPr>
              <w:pStyle w:val="Normal"/>
              <w:rPr>
                <w:sz w:val="22"/>
                <w:szCs w:val="22"/>
              </w:rPr>
            </w:pPr>
            <w:r>
              <w:rPr>
                <w:sz w:val="22"/>
                <w:szCs w:val="22"/>
              </w:rPr>
              <w:t>Управління культури, національностей та релігій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опубліковано перелік місць для соціальної взаємодії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реалізації експериментального проекту надання маломобільним групам населення, зокрема ветеранам війни, соціальної послуги “Жити життя” з утворенням мобільних служб допомоги особам з інвалідністю в кожній територіальній громаді (один фахівець на не більш як три особи з інвалідністю)</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2025—2026 роки</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щороку звіту про результати реалізації експериментального проекту</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 xml:space="preserve">Стратегічна ціль “Для кожної людини доступні послуги, зокрема соціальні, освітні, медичні, комунальні, транспортні, </w:t>
              <w:br/>
              <w:t>фінансові, правничі, безпекові, правозахисні, цивільного захисту, адміністративні, архівні, медіа та інші”</w:t>
            </w:r>
          </w:p>
        </w:tc>
      </w:tr>
      <w:tr>
        <w:trPr>
          <w:trHeight w:val="6115" w:hRule="atLeast"/>
        </w:trPr>
        <w:tc>
          <w:tcPr>
            <w:tcW w:w="1800" w:type="dxa"/>
            <w:tcBorders/>
          </w:tcPr>
          <w:p>
            <w:pPr>
              <w:pStyle w:val="Normal"/>
              <w:rPr>
                <w:sz w:val="22"/>
                <w:szCs w:val="22"/>
              </w:rPr>
            </w:pPr>
            <w:r>
              <w:rPr>
                <w:sz w:val="22"/>
                <w:szCs w:val="22"/>
              </w:rPr>
              <w:t>57. Розроблення нормативно-правових актів та здійснення заходів із забезпечення доступності соціальних, освітніх, комунальних, транспортних, фінансових, правничих, безпекових, правозахисних послуг, послуг охорони здоровʼя, цивільного захисту, адміністративних, архівних, медіа та інших послуг</w:t>
            </w:r>
          </w:p>
        </w:tc>
        <w:tc>
          <w:tcPr>
            <w:tcW w:w="3240" w:type="dxa"/>
            <w:tcBorders/>
          </w:tcPr>
          <w:p>
            <w:pPr>
              <w:pStyle w:val="Normal"/>
              <w:rPr>
                <w:sz w:val="22"/>
                <w:szCs w:val="22"/>
              </w:rPr>
            </w:pPr>
            <w:r>
              <w:rPr>
                <w:sz w:val="22"/>
                <w:szCs w:val="22"/>
              </w:rPr>
              <w:t>7) залучення організацій громадянського суспільства до проведення роз’яснювальної роботи з надання публічних послуг для всіх суспільних груп</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опубліковано щокварталу на офіційному веб-сайті МКСК або іншому офіційному ресурсі інформацію про результати проведення конкурсів для організацій громадянського суспільства щодо проведення тренінгів, семінарів та роз’яснювальної роботи з надання та отримання публічних послуг для всіх суспільних груп</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9) розроблення ключових меседжів для кожної аудиторії з урахуванням їх потреб та очікувань, різних каналів комунікації щодо наявних сервісів та послуг (сторінки в Інтернеті, телебачення, радіо, друковані матеріали)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липень — вересень 2025 р.</w:t>
            </w:r>
          </w:p>
        </w:tc>
        <w:tc>
          <w:tcPr>
            <w:tcW w:w="2340" w:type="dxa"/>
            <w:tcBorders/>
          </w:tcPr>
          <w:p>
            <w:pPr>
              <w:pStyle w:val="Normal"/>
              <w:rPr>
                <w:sz w:val="22"/>
                <w:szCs w:val="22"/>
              </w:rPr>
            </w:pPr>
            <w:r>
              <w:rPr>
                <w:sz w:val="22"/>
                <w:szCs w:val="22"/>
                <w:shd w:fill="FFFFFF" w:val="clear"/>
              </w:rPr>
              <w:t xml:space="preserve">Управління інформаційної діяльності та комунікацій з громадськістю </w:t>
            </w:r>
            <w:r>
              <w:rPr>
                <w:sz w:val="22"/>
                <w:szCs w:val="22"/>
              </w:rPr>
              <w:t>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розроблено та затверджено пропозиції щодо ключових меседжів для кожної аудиторії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11) створення умов для доступу пацієнтів, які очікують на заміну великих суглобів, до безоплатної послуги з ендопротезування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—травень 2025 р.</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оприлюднено звіт про здійснення заходів щодо створення умов для доступу пацієнтів, які очікують на заміну великих суглобів, до безоплатної послуги з ендопротезування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12) створення умов для доступу пацієнтів, які очікують на окопротезування, до безоплатної послуги з окопротезування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—травень 2025 р.</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оприлюднено звіт про здійснення заходів щодо створення умов для доступу пацієнтів, які очікують на окопротезування, до безоплатної послуги з окопротезування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22) забезпечення рівних прав і свобод у сфері індивідуальної мобільності, моніторинг надання послуги “соціального таксі”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 xml:space="preserve">забезпечено опублікування щокварталу звіту про результати проведення моніторингу надання послуги “соціального таксі”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25) поширення серед власників та керівників закладів охорони здоров’я методичних рекомендацій щодо доступності послуг у системі охорони здоровʼя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 травень 2025 р.</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підготовлено звіт про поширення методичних рекомендацій щодо доступності послуг у системі охорони здоровʼя</w:t>
            </w:r>
          </w:p>
        </w:tc>
      </w:tr>
      <w:tr>
        <w:trPr>
          <w:trHeight w:val="4440" w:hRule="atLeast"/>
        </w:trPr>
        <w:tc>
          <w:tcPr>
            <w:tcW w:w="1800" w:type="dxa"/>
            <w:vMerge w:val="restart"/>
            <w:tcBorders/>
          </w:tcPr>
          <w:p>
            <w:pPr>
              <w:pStyle w:val="Normal"/>
              <w:keepNext w:val="true"/>
              <w:keepLines/>
              <w:widowControl w:val="false"/>
              <w:rPr>
                <w:sz w:val="22"/>
                <w:szCs w:val="22"/>
              </w:rPr>
            </w:pPr>
            <w:r>
              <w:rPr>
                <w:sz w:val="22"/>
                <w:szCs w:val="22"/>
              </w:rPr>
              <w:t>58. Включення питань доступності, інклюзії та безбар’єрності в програми навчання органів державної влади та органів місцевого самоврядування, державних службовців та посадових осіб місцевого самоврядування, надавачів послуг</w:t>
            </w:r>
          </w:p>
        </w:tc>
        <w:tc>
          <w:tcPr>
            <w:tcW w:w="3240" w:type="dxa"/>
            <w:tcBorders/>
          </w:tcPr>
          <w:p>
            <w:pPr>
              <w:pStyle w:val="Normal"/>
              <w:rPr>
                <w:sz w:val="22"/>
                <w:szCs w:val="22"/>
              </w:rPr>
            </w:pPr>
            <w:r>
              <w:rPr>
                <w:sz w:val="22"/>
                <w:szCs w:val="22"/>
              </w:rPr>
              <w:t>4) проведення навчальних програм/курсів/тренінгів для надавачів послуг (наприклад, правила спілкування, толерантність, чутлива мова, клієнтоорієнтованість, навички взаємодії, організація безбар’єрного простору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 xml:space="preserve">Івано-Франківський регіональний центр підвищення кваліфікації </w:t>
            </w:r>
          </w:p>
        </w:tc>
        <w:tc>
          <w:tcPr>
            <w:tcW w:w="2066" w:type="dxa"/>
            <w:tcBorders/>
          </w:tcPr>
          <w:p>
            <w:pPr>
              <w:pStyle w:val="Normal"/>
              <w:rPr>
                <w:sz w:val="22"/>
                <w:szCs w:val="22"/>
              </w:rPr>
            </w:pPr>
            <w:r>
              <w:rPr>
                <w:sz w:val="22"/>
                <w:szCs w:val="22"/>
              </w:rPr>
              <w:t xml:space="preserve">забезпечено підготовку щокварталу звіту про результати проведеного навчання </w:t>
            </w:r>
          </w:p>
        </w:tc>
      </w:tr>
      <w:tr>
        <w:trPr>
          <w:trHeight w:val="23" w:hRule="atLeast"/>
        </w:trPr>
        <w:tc>
          <w:tcPr>
            <w:tcW w:w="1800" w:type="dxa"/>
            <w:vMerge w:val="continue"/>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сприяння підготовці медіаторів з метою надання соціальної послуги медіації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зведеної інформації про кількість підготовлених медіаторів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7) забезпечення організації та  надання соціальної послуги медіації з урахуванням потреб осіб/сімей</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щороку інформації про результати надання соціальної послуги медіації з урахуванням потреб осіб/сімей</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10) визначення відповідальної особи за проведення навчань для працівників закладів охорони здоров’я щодо політики безбар’єрності та недискримінації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 травень 2025 р.</w:t>
            </w:r>
          </w:p>
          <w:p>
            <w:pPr>
              <w:pStyle w:val="Normal"/>
              <w:widowControl w:val="false"/>
              <w:rPr>
                <w:sz w:val="22"/>
                <w:szCs w:val="22"/>
              </w:rPr>
            </w:pPr>
            <w:r>
              <w:rPr>
                <w:sz w:val="22"/>
                <w:szCs w:val="22"/>
              </w:rPr>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 xml:space="preserve">визначено кількість працівників закладів охорони здоров’я, що пройшли навчання з питань безбар’єрності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11) забезпечення проведення навчання тренерів з числа працівників закладів охорони здоров’я шляхом залучення консультантів та фахівців міжнародних гуманітарних організацій</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забезпечено опублікування щокварталу звіту про кількість підготовлених тренерів  з числа працівників закладів охорони здоров’я кожного регіону України для забезпечення проведення тренінгів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12) забезпечення проведення навчання (тренінгів, вебінарів) для працівників державних та комунальних закладів охорони здоров’я щодо політики безбар’єрності та недискримінації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забезпечено підготовку щокварталу звіту про результати проведення навчання медичних працівників закладів охорони здоров’я щодо політики безбар’єрності та недискримінації осіб з інвалідністю та інших маломобільних груп населення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13) забезпечення проведення навчання державних службовців та посадових осіб місцевого самоврядування за програмами підвищення кваліфікації із вивчення положень Конвенції про права осіб з інвалідністю, універсального дизайну і доступності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забезпечено опублікування щокварталу звіту про результати проведення навчання  державних службовців та посадових осіб місцевого самоврядування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14) проведення  навчання для працівників служб у справах дітей, міської, районної у місті ради,  сільської, селищної ради, центрів соціально-психологічної реабілітації  дітей</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опублікування щокварталу звіту про результати проведення навчання для працівників служб у справах дітей органів місцевого самоврядування, центрів соціально-психологічної реабілітації  дітей</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15) залучення організацій громадянського суспільства на конкурсній основі до проведення тренінгів, семінарів  та роз’яснювальної роботи з питань надання та отримання публічних послуг для всіх суспільних груп</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опубліковано звіт про результати проведеного конкурсу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17) проведення навчання для працівників органів влади та органів місцевого самоврядування щодо особливостей надання послуг ветеранам війни та особам з інвалідністю внаслідок війни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забезпечено опублікування щокварталу звіту про результати проведення відповідного навчання</w:t>
            </w:r>
          </w:p>
        </w:tc>
      </w:tr>
      <w:tr>
        <w:trPr>
          <w:trHeight w:val="3408" w:hRule="atLeast"/>
        </w:trPr>
        <w:tc>
          <w:tcPr>
            <w:tcW w:w="1800" w:type="dxa"/>
            <w:tcBorders/>
          </w:tcPr>
          <w:p>
            <w:pPr>
              <w:pStyle w:val="Normal"/>
              <w:rPr>
                <w:sz w:val="22"/>
                <w:szCs w:val="22"/>
              </w:rPr>
            </w:pPr>
            <w:r>
              <w:rPr>
                <w:sz w:val="22"/>
                <w:szCs w:val="22"/>
              </w:rPr>
              <w:t>60. Забезпечення доступності послуг, які надаються через мобільні застосунки та онлайн-платформи, для осіб з обмеженнями повсякденного функціонування</w:t>
            </w:r>
          </w:p>
        </w:tc>
        <w:tc>
          <w:tcPr>
            <w:tcW w:w="3240" w:type="dxa"/>
            <w:tcBorders/>
          </w:tcPr>
          <w:p>
            <w:pPr>
              <w:pStyle w:val="Normal"/>
              <w:rPr>
                <w:sz w:val="22"/>
                <w:szCs w:val="22"/>
              </w:rPr>
            </w:pPr>
            <w:r>
              <w:rPr>
                <w:sz w:val="22"/>
                <w:szCs w:val="22"/>
              </w:rPr>
              <w:t>3) забезпечення доступності інформації для осіб з різними ступенями обмеження здатності до спілкування під час спілкування на гарячих лініях обласних та Київської міської держадміністрацій (військових адміністрацій)</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2026 роки</w:t>
            </w:r>
          </w:p>
        </w:tc>
        <w:tc>
          <w:tcPr>
            <w:tcW w:w="2340" w:type="dxa"/>
            <w:tcBorders/>
          </w:tcPr>
          <w:p>
            <w:pPr>
              <w:pStyle w:val="Heading1"/>
              <w:shd w:fill="FFFFFF" w:val="clear"/>
              <w:spacing w:before="0" w:after="0"/>
              <w:rPr>
                <w:b w:val="false"/>
                <w:b w:val="false"/>
                <w:bCs w:val="false"/>
                <w:sz w:val="22"/>
                <w:szCs w:val="22"/>
              </w:rPr>
            </w:pPr>
            <w:r>
              <w:rPr>
                <w:b w:val="false"/>
                <w:bCs w:val="false"/>
                <w:sz w:val="22"/>
                <w:szCs w:val="22"/>
              </w:rPr>
              <w:t xml:space="preserve">Відділ роботи із зверненням громадян апарату </w:t>
            </w:r>
            <w:r>
              <w:rPr>
                <w:b w:val="false"/>
                <w:sz w:val="22"/>
                <w:szCs w:val="22"/>
              </w:rPr>
              <w:t>Івано-Франківської облдержадміністрації</w:t>
            </w:r>
          </w:p>
          <w:p>
            <w:pPr>
              <w:pStyle w:val="Normal"/>
              <w:rPr>
                <w:b/>
                <w:b/>
                <w:bCs/>
                <w:sz w:val="22"/>
                <w:szCs w:val="22"/>
              </w:rPr>
            </w:pPr>
            <w:r>
              <w:rPr>
                <w:b/>
                <w:bCs/>
                <w:sz w:val="22"/>
                <w:szCs w:val="22"/>
              </w:rPr>
            </w:r>
          </w:p>
        </w:tc>
        <w:tc>
          <w:tcPr>
            <w:tcW w:w="2066" w:type="dxa"/>
            <w:tcBorders/>
          </w:tcPr>
          <w:p>
            <w:pPr>
              <w:pStyle w:val="Normal"/>
              <w:rPr>
                <w:sz w:val="22"/>
                <w:szCs w:val="22"/>
              </w:rPr>
            </w:pPr>
            <w:r>
              <w:rPr>
                <w:sz w:val="22"/>
                <w:szCs w:val="22"/>
              </w:rPr>
              <w:t>забезпечено оприлюднення щокварталу звіту про результати забезпечення доступності інформації</w:t>
            </w:r>
          </w:p>
        </w:tc>
      </w:tr>
      <w:tr>
        <w:trPr>
          <w:trHeight w:val="23" w:hRule="atLeast"/>
        </w:trPr>
        <w:tc>
          <w:tcPr>
            <w:tcW w:w="1800" w:type="dxa"/>
            <w:vMerge w:val="restart"/>
            <w:tcBorders/>
          </w:tcPr>
          <w:p>
            <w:pPr>
              <w:pStyle w:val="Normal"/>
              <w:keepNext w:val="true"/>
              <w:keepLines/>
              <w:widowControl w:val="false"/>
              <w:rPr>
                <w:sz w:val="22"/>
                <w:szCs w:val="22"/>
              </w:rPr>
            </w:pPr>
            <w:r>
              <w:rPr>
                <w:sz w:val="22"/>
                <w:szCs w:val="22"/>
              </w:rPr>
              <w:t>63. Забезпечення врахування прав та інтересів осіб з інвалідністю та інших маломобільних груп під час евакуації, доступу до укриттів, води та засобів гігієни, отримання послуг охорони здоров’я та соціальних послуг в умовах військових дій</w:t>
            </w:r>
          </w:p>
          <w:p>
            <w:pPr>
              <w:pStyle w:val="Normal"/>
              <w:keepNext w:val="true"/>
              <w:keepLines/>
              <w:widowControl w:val="false"/>
              <w:jc w:val="both"/>
              <w:rPr>
                <w:sz w:val="22"/>
                <w:szCs w:val="22"/>
              </w:rPr>
            </w:pPr>
            <w:r>
              <w:rPr>
                <w:sz w:val="22"/>
                <w:szCs w:val="22"/>
              </w:rPr>
            </w:r>
          </w:p>
        </w:tc>
        <w:tc>
          <w:tcPr>
            <w:tcW w:w="3240" w:type="dxa"/>
            <w:tcBorders/>
          </w:tcPr>
          <w:p>
            <w:pPr>
              <w:pStyle w:val="Normal"/>
              <w:rPr>
                <w:sz w:val="22"/>
                <w:szCs w:val="22"/>
              </w:rPr>
            </w:pPr>
            <w:r>
              <w:rPr>
                <w:sz w:val="22"/>
                <w:szCs w:val="22"/>
              </w:rPr>
              <w:t>1) забезпечення доступності медичних послуг у сфері охорони здоров’я у громадах для всіх суспільних груп, зокрема на територіях можливих бойових дій та деокупованих територіях</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оприлюднено звіт про виконану роботу із забезпечення доступності медичних послуг у сфері охорони здоровʼя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 врахування прав та інтересів осіб з інвалідністю та інших маломобільних груп населення у процесі вимушеної евакуації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 — травень 2025 р.</w:t>
            </w:r>
          </w:p>
        </w:tc>
        <w:tc>
          <w:tcPr>
            <w:tcW w:w="2340" w:type="dxa"/>
            <w:tcBorders/>
          </w:tcPr>
          <w:p>
            <w:pPr>
              <w:pStyle w:val="Normal"/>
              <w:rPr>
                <w:sz w:val="22"/>
                <w:szCs w:val="22"/>
              </w:rPr>
            </w:pPr>
            <w:r>
              <w:rPr>
                <w:sz w:val="22"/>
                <w:szCs w:val="22"/>
              </w:rPr>
              <w:t>Управління з питань цивільного захисту Івано-Франківської облдержадміністрації</w:t>
            </w:r>
          </w:p>
        </w:tc>
        <w:tc>
          <w:tcPr>
            <w:tcW w:w="2066" w:type="dxa"/>
            <w:tcBorders/>
          </w:tcPr>
          <w:p>
            <w:pPr>
              <w:pStyle w:val="Normal"/>
              <w:rPr>
                <w:sz w:val="22"/>
                <w:szCs w:val="22"/>
              </w:rPr>
            </w:pPr>
            <w:r>
              <w:rPr>
                <w:sz w:val="22"/>
                <w:szCs w:val="22"/>
              </w:rPr>
              <w:t>затверджено та оприлюднено інструкцію із забезпечення прав та інтересів осіб з інвалідністю та інших маломобільних груп населення у процесі вимушеної евакуації</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3) врахування прав та інтересів осіб з інвалідністю та інших маломобільних груп населення у місцях тимчасового перебування</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січень —травень 2025 р.</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 xml:space="preserve">затверджено та оприлюднено інструкцію із забезпечення прав та інтересів осіб з інвалідністю та інших маломобільних груп населення в  місцях тимчасового перебування </w:t>
            </w:r>
          </w:p>
        </w:tc>
      </w:tr>
      <w:tr>
        <w:trPr>
          <w:trHeight w:val="23" w:hRule="atLeast"/>
        </w:trPr>
        <w:tc>
          <w:tcPr>
            <w:tcW w:w="1800" w:type="dxa"/>
            <w:vMerge w:val="restart"/>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4) забезпечення організації надання соціальних послуг, альтернативних інституційному догляду, особам старшого віку, особам з інвалідністю, які евакуюються із небезпечних регіонів України</w:t>
            </w:r>
          </w:p>
        </w:tc>
        <w:tc>
          <w:tcPr>
            <w:tcW w:w="3540" w:type="dxa"/>
            <w:tcBorders/>
          </w:tcPr>
          <w:p>
            <w:pPr>
              <w:pStyle w:val="Normal"/>
              <w:widowControl w:val="false"/>
              <w:snapToGrid w:val="false"/>
              <w:jc w:val="both"/>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цивільного захисту Івано-Франківської облдержадміністрації</w:t>
            </w:r>
          </w:p>
        </w:tc>
        <w:tc>
          <w:tcPr>
            <w:tcW w:w="2066" w:type="dxa"/>
            <w:tcBorders/>
          </w:tcPr>
          <w:p>
            <w:pPr>
              <w:pStyle w:val="Normal"/>
              <w:rPr>
                <w:sz w:val="22"/>
                <w:szCs w:val="22"/>
              </w:rPr>
            </w:pPr>
            <w:r>
              <w:rPr>
                <w:sz w:val="22"/>
                <w:szCs w:val="22"/>
              </w:rPr>
              <w:t>затверджено та оприлюднено інструкцію щодо надання соціальних послуг особам старшого віку, особам з інвалідністю, які евакуюються із небезпечних регіонів України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5) оновлення з урахуванням воєнного стану розділів регіональних та місцевих планів проведення евакуації населення у разі загрози або виникнення надзвичайних ситуацій стосовно осіб з інвалідністю, осіб старшого віку та інших маломобільних груп населення</w:t>
            </w:r>
          </w:p>
        </w:tc>
        <w:tc>
          <w:tcPr>
            <w:tcW w:w="3540" w:type="dxa"/>
            <w:tcBorders/>
          </w:tcPr>
          <w:p>
            <w:pPr>
              <w:pStyle w:val="Normal"/>
              <w:widowControl w:val="false"/>
              <w:snapToGrid w:val="false"/>
              <w:jc w:val="both"/>
              <w:rPr>
                <w:sz w:val="22"/>
                <w:szCs w:val="22"/>
              </w:rPr>
            </w:pPr>
            <w:r>
              <w:rPr>
                <w:sz w:val="22"/>
                <w:szCs w:val="22"/>
              </w:rPr>
            </w:r>
          </w:p>
        </w:tc>
        <w:tc>
          <w:tcPr>
            <w:tcW w:w="2040" w:type="dxa"/>
            <w:tcBorders/>
          </w:tcPr>
          <w:p>
            <w:pPr>
              <w:pStyle w:val="Normal"/>
              <w:widowControl w:val="false"/>
              <w:rPr>
                <w:sz w:val="22"/>
                <w:szCs w:val="22"/>
              </w:rPr>
            </w:pPr>
            <w:r>
              <w:rPr>
                <w:sz w:val="22"/>
                <w:szCs w:val="22"/>
              </w:rPr>
              <w:t>квітень — липень 2025 р.</w:t>
            </w:r>
          </w:p>
        </w:tc>
        <w:tc>
          <w:tcPr>
            <w:tcW w:w="2340" w:type="dxa"/>
            <w:tcBorders/>
          </w:tcPr>
          <w:p>
            <w:pPr>
              <w:pStyle w:val="Normal"/>
              <w:rPr>
                <w:sz w:val="22"/>
                <w:szCs w:val="22"/>
              </w:rPr>
            </w:pPr>
            <w:r>
              <w:rPr>
                <w:sz w:val="22"/>
                <w:szCs w:val="22"/>
              </w:rPr>
              <w:t>Управління з питань цивільного захисту Івано-Франківської облдержадміністрації</w:t>
            </w:r>
          </w:p>
        </w:tc>
        <w:tc>
          <w:tcPr>
            <w:tcW w:w="2066" w:type="dxa"/>
            <w:tcBorders/>
          </w:tcPr>
          <w:p>
            <w:pPr>
              <w:pStyle w:val="Normal"/>
              <w:widowControl w:val="false"/>
              <w:rPr>
                <w:sz w:val="22"/>
                <w:szCs w:val="22"/>
              </w:rPr>
            </w:pPr>
            <w:r>
              <w:rPr>
                <w:sz w:val="22"/>
                <w:szCs w:val="22"/>
              </w:rPr>
              <w:t>оновлено з урахуванням воєнного стану розділи регіональних та місцевих планів проведення евакуації населення у разі загрози або виникнення надзвичайних ситуацій стосовно евакуації осіб з інвалідністю, осіб старшого віку та інших маломобільних груп населення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widowControl w:val="false"/>
              <w:rPr>
                <w:sz w:val="22"/>
                <w:szCs w:val="22"/>
              </w:rPr>
            </w:pPr>
            <w:r>
              <w:rPr>
                <w:sz w:val="22"/>
                <w:szCs w:val="22"/>
              </w:rPr>
              <w:t>6) забезпечення візуального чи тактильного оповіщення осіб з порушеннями слуху шляхом застосування технічних чи інших допоміжних засобів</w:t>
            </w:r>
          </w:p>
        </w:tc>
        <w:tc>
          <w:tcPr>
            <w:tcW w:w="3540" w:type="dxa"/>
            <w:tcBorders/>
          </w:tcPr>
          <w:p>
            <w:pPr>
              <w:pStyle w:val="Normal"/>
              <w:widowControl w:val="false"/>
              <w:snapToGrid w:val="false"/>
              <w:jc w:val="both"/>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widowControl w:val="false"/>
              <w:rPr>
                <w:sz w:val="22"/>
                <w:szCs w:val="22"/>
              </w:rPr>
            </w:pPr>
            <w:r>
              <w:rPr>
                <w:sz w:val="22"/>
                <w:szCs w:val="22"/>
              </w:rPr>
              <w:t>забезпечено підготовку щокварталу звіту про результати забезпечення візуального чи тактильного оповіщення осіб з порушеннями слуху шляхом застосування технічних чи інших допоміжних засобів (з фотографіями)</w:t>
            </w:r>
          </w:p>
        </w:tc>
      </w:tr>
      <w:tr>
        <w:trPr>
          <w:trHeight w:val="23" w:hRule="atLeast"/>
        </w:trPr>
        <w:tc>
          <w:tcPr>
            <w:tcW w:w="1800" w:type="dxa"/>
            <w:vMerge w:val="restart"/>
            <w:tcBorders/>
          </w:tcPr>
          <w:p>
            <w:pPr>
              <w:pStyle w:val="Normal"/>
              <w:widowControl w:val="false"/>
              <w:snapToGrid w:val="false"/>
              <w:rPr>
                <w:sz w:val="22"/>
                <w:szCs w:val="22"/>
              </w:rPr>
            </w:pPr>
            <w:r>
              <w:rPr>
                <w:sz w:val="22"/>
                <w:szCs w:val="22"/>
              </w:rPr>
            </w:r>
          </w:p>
        </w:tc>
        <w:tc>
          <w:tcPr>
            <w:tcW w:w="3240" w:type="dxa"/>
            <w:tcBorders/>
          </w:tcPr>
          <w:p>
            <w:pPr>
              <w:pStyle w:val="Normal"/>
              <w:widowControl w:val="false"/>
              <w:rPr/>
            </w:pPr>
            <w:r>
              <w:rPr>
                <w:sz w:val="22"/>
                <w:szCs w:val="22"/>
              </w:rPr>
              <w:t>7)</w:t>
            </w:r>
            <w:r>
              <w:rPr>
                <w:b/>
                <w:sz w:val="22"/>
                <w:szCs w:val="22"/>
              </w:rPr>
              <w:t xml:space="preserve"> </w:t>
            </w:r>
            <w:r>
              <w:rPr>
                <w:sz w:val="22"/>
                <w:szCs w:val="22"/>
              </w:rPr>
              <w:t xml:space="preserve">створення фонду захисних споруд цивільного захисту у надавачів соціальних послуг,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безбар’єрності та (у разі їх будівництва) з дотриманням вимог містобудівного 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осіб з інвалідністю та інших маломобільних груп населення </w:t>
            </w:r>
          </w:p>
        </w:tc>
        <w:tc>
          <w:tcPr>
            <w:tcW w:w="3540" w:type="dxa"/>
            <w:tcBorders/>
          </w:tcPr>
          <w:p>
            <w:pPr>
              <w:pStyle w:val="Normal"/>
              <w:widowControl w:val="false"/>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з питань цивільного захисту Івано-Франківської облдержадміністрації</w:t>
            </w:r>
          </w:p>
        </w:tc>
        <w:tc>
          <w:tcPr>
            <w:tcW w:w="2066" w:type="dxa"/>
            <w:tcBorders/>
          </w:tcPr>
          <w:p>
            <w:pPr>
              <w:pStyle w:val="Normal"/>
              <w:widowControl w:val="false"/>
              <w:rPr>
                <w:sz w:val="22"/>
                <w:szCs w:val="22"/>
              </w:rPr>
            </w:pPr>
            <w:r>
              <w:rPr>
                <w:sz w:val="22"/>
                <w:szCs w:val="22"/>
              </w:rPr>
              <w:t>забезпечено підготовку щокварталу звіту об’єктів фонду захисних споруд цивільного захисту надавачів соціальних послуг,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безбар’єрності (з фотографіями)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8) забезпечення закладів освіти захисними спорудами цивільного захисту, спорудами подвійного призначення та найпростішими укриттями з урахуванням принципів безбар’єрності та (у разі їх будівництва) з дотриманням вимог містобудівного законодавства, будівельних норм, нормативних документів, обов’язковість застосування яких встановлена законодавством щодо забезпечення доступності і безпеки для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з питань цивільного захисту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tc>
        <w:tc>
          <w:tcPr>
            <w:tcW w:w="2066" w:type="dxa"/>
            <w:tcBorders/>
          </w:tcPr>
          <w:p>
            <w:pPr>
              <w:pStyle w:val="Normal"/>
              <w:widowControl w:val="false"/>
              <w:rPr>
                <w:sz w:val="22"/>
                <w:szCs w:val="22"/>
              </w:rPr>
            </w:pPr>
            <w:r>
              <w:rPr>
                <w:sz w:val="22"/>
                <w:szCs w:val="22"/>
              </w:rPr>
              <w:t>забезпечено підготовку щокварталу звіту об’єктів, в яких створені об’єкти фонду захисних споруд цивільного захисту з урахуванням потреб осіб з інвалідністю, зокрема збільшено фонд захисних споруд цивільного захисту (з фотографіями)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9) проведення (за участю громадських об’єднань) моніторингу дотримання прав маломобільних груп населення, зокрема осіб з інвалідністю, в разі виникнення надзвичайних ситуацій із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з питань цивільного захисту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shd w:fill="FFFFFF" w:val="clear"/>
              </w:rPr>
              <w:t xml:space="preserve">Департамент економічного розвитку, промисловості та інфраструктури </w:t>
            </w:r>
            <w:r>
              <w:rPr>
                <w:sz w:val="22"/>
                <w:szCs w:val="22"/>
              </w:rPr>
              <w:t>Івано-Франківської облдержадміністрації</w:t>
            </w:r>
          </w:p>
        </w:tc>
        <w:tc>
          <w:tcPr>
            <w:tcW w:w="2066" w:type="dxa"/>
            <w:tcBorders/>
          </w:tcPr>
          <w:p>
            <w:pPr>
              <w:pStyle w:val="Normal"/>
              <w:rPr>
                <w:sz w:val="22"/>
                <w:szCs w:val="22"/>
              </w:rPr>
            </w:pPr>
            <w:r>
              <w:rPr>
                <w:sz w:val="22"/>
                <w:szCs w:val="22"/>
              </w:rPr>
              <w:t>оприлюднено результати  проведеного моніторингу</w:t>
            </w:r>
          </w:p>
        </w:tc>
      </w:tr>
      <w:tr>
        <w:trPr>
          <w:trHeight w:val="23" w:hRule="atLeast"/>
        </w:trPr>
        <w:tc>
          <w:tcPr>
            <w:tcW w:w="15026" w:type="dxa"/>
            <w:gridSpan w:val="6"/>
            <w:tcBorders/>
          </w:tcPr>
          <w:p>
            <w:pPr>
              <w:pStyle w:val="Normal"/>
              <w:spacing w:before="120" w:after="0"/>
              <w:ind w:start="-40" w:hanging="0"/>
              <w:jc w:val="center"/>
              <w:rPr>
                <w:sz w:val="22"/>
                <w:szCs w:val="22"/>
              </w:rPr>
            </w:pPr>
            <w:r>
              <w:rPr>
                <w:sz w:val="22"/>
                <w:szCs w:val="22"/>
              </w:rPr>
              <w:t>Стратегічна ціль “Кожна людина має доступ до розвинутої системи громадського здоровʼя, включаючи послуги у сфері фізичної культури та спорту”</w:t>
            </w:r>
          </w:p>
        </w:tc>
      </w:tr>
      <w:tr>
        <w:trPr>
          <w:trHeight w:val="23" w:hRule="atLeast"/>
        </w:trPr>
        <w:tc>
          <w:tcPr>
            <w:tcW w:w="1800" w:type="dxa"/>
            <w:vMerge w:val="restart"/>
            <w:tcBorders/>
          </w:tcPr>
          <w:p>
            <w:pPr>
              <w:pStyle w:val="Normal"/>
              <w:rPr>
                <w:sz w:val="22"/>
                <w:szCs w:val="22"/>
              </w:rPr>
            </w:pPr>
            <w:r>
              <w:rPr>
                <w:sz w:val="22"/>
                <w:szCs w:val="22"/>
              </w:rPr>
              <w:t>64. Забезпечення залучення всіх суспільних груп до оздоровчої рухової активності, зокрема осіб з інвалідністю та/або осіб з обмеженнями повсякденного функціонування, до адаптивного спорту</w:t>
            </w:r>
          </w:p>
        </w:tc>
        <w:tc>
          <w:tcPr>
            <w:tcW w:w="3240" w:type="dxa"/>
            <w:tcBorders/>
          </w:tcPr>
          <w:p>
            <w:pPr>
              <w:pStyle w:val="Normal"/>
              <w:rPr>
                <w:sz w:val="22"/>
                <w:szCs w:val="22"/>
              </w:rPr>
            </w:pPr>
            <w:r>
              <w:rPr>
                <w:sz w:val="22"/>
                <w:szCs w:val="22"/>
              </w:rPr>
              <w:t>1) проведення аналізу фактичного забезпечення доступу до закладів та інфраструктури фізичної культури і спорту для всіх груп населення та оприлюднення цієї інформації на офіційному веб-сайті Мінмолодьспорту (у рубриці “Безбар’єрність”)</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звіту щодо кількості об’єктів спортивної інфраструктури, що відповідають вимогам доступності, з посиланням на офіційний веб-сайт Мінмолодьспорту</w:t>
            </w:r>
          </w:p>
        </w:tc>
      </w:tr>
      <w:tr>
        <w:trPr>
          <w:trHeight w:val="1679"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 забезпечення взаємодії з інститутами громадянського суспільства, соціально відповідальним бізнесом під час реалізації проектів щодо розвитку адаптивного спорту в територіальних громадах</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щопівроку опублікування інформації про результати такої взаємодії</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інформаційно-просвітницької кампанії щодо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самозбережувальної поведінки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2026 рік</w:t>
            </w:r>
          </w:p>
        </w:tc>
        <w:tc>
          <w:tcPr>
            <w:tcW w:w="2340" w:type="dxa"/>
            <w:tcBorders/>
          </w:tcPr>
          <w:p>
            <w:pPr>
              <w:pStyle w:val="Normal"/>
              <w:rPr/>
            </w:pPr>
            <w:r>
              <w:rPr>
                <w:sz w:val="22"/>
                <w:szCs w:val="22"/>
              </w:rPr>
              <w:t xml:space="preserve">Управління інформаційної діяльності та комунікацій з громадськістю Івано-Франківської облдержадміністрації </w:t>
            </w:r>
          </w:p>
          <w:p>
            <w:pPr>
              <w:pStyle w:val="Normal"/>
              <w:rPr>
                <w:sz w:val="8"/>
                <w:szCs w:val="8"/>
              </w:rPr>
            </w:pPr>
            <w:r>
              <w:rPr>
                <w:sz w:val="8"/>
                <w:szCs w:val="8"/>
              </w:rPr>
            </w:r>
          </w:p>
          <w:p>
            <w:pPr>
              <w:pStyle w:val="Normal"/>
              <w:rPr/>
            </w:pPr>
            <w:r>
              <w:rPr>
                <w:sz w:val="22"/>
                <w:szCs w:val="22"/>
              </w:rPr>
              <w:t xml:space="preserve">Департамент охорони здоров’я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опублікування інформації про  проведені щоквартальні заходи (зазначено кількість учасників, кількість проведених заходів, типи та тематику  заходів, дати проведення тощо)</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 xml:space="preserve">5) здійснення заходів, спрямованих на  розвиток різноманіття, інклюзивності і доступності в спорті на противагу гендерним стереотипам, расизму, насильству та  дискримінації осіб з інвалідністю та інших маломобільних груп населення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звіту про проведені заходи, спрямовані на  розвиток різноманіття, інклюзивності і доступності в спорті (зазначено кількість учасників, кількість проведених заходів, типи та тематику  заходів, дати проведення тощо)</w:t>
            </w:r>
          </w:p>
        </w:tc>
      </w:tr>
      <w:tr>
        <w:trPr>
          <w:trHeight w:val="2785"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 xml:space="preserve">6) забезпечення поширення соціальної реклами щодо здорового харчування, фізичної активності та доброзичливого спілкування  як здорового способу життя осіб усіх вікових груп і умови активного довголіття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pPr>
            <w:r>
              <w:rPr>
                <w:sz w:val="22"/>
                <w:szCs w:val="22"/>
              </w:rPr>
              <w:t xml:space="preserve">Управління інформаційної діяльності та комунікацій з громадськістю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 xml:space="preserve">Департамент охорони здоров’я Івано-Франківської облдержадміністрації </w:t>
            </w:r>
          </w:p>
        </w:tc>
        <w:tc>
          <w:tcPr>
            <w:tcW w:w="2066" w:type="dxa"/>
            <w:tcBorders/>
          </w:tcPr>
          <w:p>
            <w:pPr>
              <w:pStyle w:val="Normal"/>
              <w:rPr>
                <w:sz w:val="22"/>
                <w:szCs w:val="22"/>
              </w:rPr>
            </w:pPr>
            <w:r>
              <w:rPr>
                <w:sz w:val="22"/>
                <w:szCs w:val="22"/>
              </w:rPr>
              <w:t>забезпечено підготовку щокварталу звіту соціальної реклами (з фотографіями)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 xml:space="preserve">10) забезпечення залучення ветеранів війни до спортивних заходів та участі у національних та міжнародних спортивних змаганнях серед ветеранів війни (розроблення відповідних програм для </w:t>
              <w:br/>
              <w:t>жінок — ветеранів війни)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pPr>
            <w:r>
              <w:rPr>
                <w:sz w:val="22"/>
                <w:szCs w:val="22"/>
              </w:rPr>
              <w:t xml:space="preserve">Управління з питань ветеранської політики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t xml:space="preserve">Управління спорту та молодіжної політики Івано-Франківської облдержадміністрації </w:t>
            </w:r>
          </w:p>
        </w:tc>
        <w:tc>
          <w:tcPr>
            <w:tcW w:w="2066" w:type="dxa"/>
            <w:tcBorders/>
          </w:tcPr>
          <w:p>
            <w:pPr>
              <w:pStyle w:val="Normal"/>
              <w:rPr>
                <w:sz w:val="22"/>
                <w:szCs w:val="22"/>
              </w:rPr>
            </w:pPr>
            <w:r>
              <w:rPr>
                <w:sz w:val="22"/>
                <w:szCs w:val="22"/>
              </w:rPr>
              <w:t>забезпечено щокварталу розміщення інформації в соціальних мережах про результати проведення заходів</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11) проведення фізкультурно-оздоровчих та спортивних заходів серед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pPr>
            <w:r>
              <w:rPr>
                <w:sz w:val="22"/>
                <w:szCs w:val="22"/>
              </w:rPr>
              <w:t xml:space="preserve">Управління з питань ветеранської політики Івано-Франківської облдержадміністрації </w:t>
            </w:r>
          </w:p>
          <w:p>
            <w:pPr>
              <w:pStyle w:val="Normal"/>
              <w:rPr>
                <w:sz w:val="8"/>
                <w:szCs w:val="8"/>
              </w:rPr>
            </w:pPr>
            <w:r>
              <w:rPr>
                <w:sz w:val="8"/>
                <w:szCs w:val="8"/>
              </w:rPr>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кількість проведених заходів (зазначено кількість учасників, кількість проведених заходів, типи та тематику  заходів, дати проведення тощо)</w:t>
            </w:r>
          </w:p>
        </w:tc>
      </w:tr>
      <w:tr>
        <w:trPr>
          <w:trHeight w:val="3684"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17) проведення заходів з адаптивного спорту для осіб з інвалідністю та/або осіб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звіту про результати проведення заходів з адаптивного спорту (зазначено кількість учасників, кількість проведених заходів, типи та тематику  заходів, дати проведення тощо)</w:t>
            </w:r>
          </w:p>
        </w:tc>
      </w:tr>
      <w:tr>
        <w:trPr>
          <w:trHeight w:val="2965"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21) популяризація адаптивного спорту та інформування населення щодо наявних умов та можливостей для занять адаптивним спортом шляхом  виготовлення, розміщення на офіційному веб-сайті та сторінках Інтернету інформаційних повідомлень, сюжетів, телевізійних програм, відеокоментарів,  телеефірів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 xml:space="preserve">Управління інформаційної діяльності та комунікацій з громадськістю Івано-Франківської облдержадміністрації </w:t>
            </w:r>
          </w:p>
        </w:tc>
        <w:tc>
          <w:tcPr>
            <w:tcW w:w="2066" w:type="dxa"/>
            <w:tcBorders/>
          </w:tcPr>
          <w:p>
            <w:pPr>
              <w:pStyle w:val="Normal"/>
              <w:rPr>
                <w:sz w:val="22"/>
                <w:szCs w:val="22"/>
              </w:rPr>
            </w:pPr>
            <w:r>
              <w:rPr>
                <w:sz w:val="22"/>
                <w:szCs w:val="22"/>
              </w:rPr>
              <w:t>виготовлено інформаційні матеріали, розміщено на офіційному веб-сайті та сторінках Інтернету інформаційні повідомлення, сюжети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28) сприяння залученню міжнародної технічної допомоги для закупівлі спортивного обладнання та інвентарю для занять адаптивним спортом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спорту та молодіжної політики Івано-Франківської облдержадміністрації</w:t>
            </w:r>
          </w:p>
          <w:p>
            <w:pPr>
              <w:pStyle w:val="Normal"/>
              <w:rPr>
                <w:sz w:val="8"/>
                <w:szCs w:val="8"/>
              </w:rPr>
            </w:pPr>
            <w:r>
              <w:rPr>
                <w:sz w:val="8"/>
                <w:szCs w:val="8"/>
              </w:rPr>
            </w:r>
          </w:p>
          <w:p>
            <w:pPr>
              <w:pStyle w:val="Normal"/>
              <w:widowControl w:val="false"/>
              <w:rPr>
                <w:sz w:val="22"/>
                <w:szCs w:val="22"/>
              </w:rPr>
            </w:pPr>
            <w:r>
              <w:rPr>
                <w:sz w:val="22"/>
                <w:szCs w:val="22"/>
              </w:rPr>
              <w:t>Управління з питань ветеранської політики Івано-Франківської облдержадміністрації</w:t>
            </w:r>
          </w:p>
        </w:tc>
        <w:tc>
          <w:tcPr>
            <w:tcW w:w="2066" w:type="dxa"/>
            <w:tcBorders/>
          </w:tcPr>
          <w:p>
            <w:pPr>
              <w:pStyle w:val="Normal"/>
              <w:rPr>
                <w:sz w:val="22"/>
                <w:szCs w:val="22"/>
              </w:rPr>
            </w:pPr>
            <w:r>
              <w:rPr>
                <w:sz w:val="22"/>
                <w:szCs w:val="22"/>
              </w:rPr>
              <w:t>підготовлено звіт щодо  залучення міжнародної технічної допомоги для закупівлі спортивного обладнання та інвентарю для занять адаптивним спортом</w:t>
            </w:r>
          </w:p>
          <w:p>
            <w:pPr>
              <w:pStyle w:val="Normal"/>
              <w:rPr/>
            </w:pPr>
            <w:r>
              <w:rPr>
                <w:sz w:val="22"/>
                <w:szCs w:val="22"/>
              </w:rPr>
              <w:t>подано пропозиції Мінекономіки щодо залучення міжнародної технічної допомоги для закупівлі спортивного обладнання та інвентарю для занять адаптивним спортом</w:t>
            </w:r>
          </w:p>
        </w:tc>
      </w:tr>
      <w:tr>
        <w:trPr>
          <w:trHeight w:val="809" w:hRule="atLeast"/>
        </w:trPr>
        <w:tc>
          <w:tcPr>
            <w:tcW w:w="1800" w:type="dxa"/>
            <w:vMerge w:val="restart"/>
            <w:tcBorders/>
          </w:tcPr>
          <w:p>
            <w:pPr>
              <w:pStyle w:val="Normal"/>
              <w:rPr>
                <w:sz w:val="22"/>
                <w:szCs w:val="22"/>
              </w:rPr>
            </w:pPr>
            <w:r>
              <w:rPr>
                <w:sz w:val="22"/>
                <w:szCs w:val="22"/>
              </w:rPr>
              <w:t>65. Забезпечення надання психологічної допомоги та підтримки для всіх суспільних груп</w:t>
            </w:r>
          </w:p>
        </w:tc>
        <w:tc>
          <w:tcPr>
            <w:tcW w:w="3240" w:type="dxa"/>
            <w:tcBorders/>
          </w:tcPr>
          <w:p>
            <w:pPr>
              <w:pStyle w:val="Normal"/>
              <w:rPr>
                <w:sz w:val="22"/>
                <w:szCs w:val="22"/>
              </w:rPr>
            </w:pPr>
            <w:r>
              <w:rPr>
                <w:sz w:val="22"/>
                <w:szCs w:val="22"/>
              </w:rPr>
              <w:t>3) забезпечення надання психологічної допомоги всім суспільним групам</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 xml:space="preserve">забезпечено підготовку щокварталу звіту про результати надання психологічної допомоги </w:t>
            </w:r>
          </w:p>
        </w:tc>
      </w:tr>
      <w:tr>
        <w:trPr>
          <w:trHeight w:val="4582"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забезпечення функціонування центрів психічного здоров’я в кластерних/надкластерних закладах охорони здоров’я із дотриманням вимог законодавства щодо прав людини, забезпечення безбар’єрного доступу пацієнтів до стаціонарної психіатричної допомоги</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pPr>
            <w:r>
              <w:rPr>
                <w:sz w:val="22"/>
                <w:szCs w:val="22"/>
              </w:rPr>
              <w:t>розміщено інформацію про функціонування центрів психічного здоров’я в кластерних/надкла-стерних закладах охорони здоров’я із дотриманням вимог законодавства щодо прав людини, забезпечення безбар’єрного доступу пацієнтів до стаціонарної психіатричної допомоги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6) забезпечення розвитку мережі субʼєктів надання послуг з охорони психічного здоров’я та психосоціальної підтримки, забезпечення їх координації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ветеранської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щороку оприлюднення оновленого переліку суб’єктів, що надають послуги з охорони психічного здоров’я та психосоціальної підтримки</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7) забезпечення доступності населення до послуг з психіатричної допомоги, яка надається шляхом виїзду мобільних мультидисциплінарних команд</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 xml:space="preserve">забезпечено підготовку щокварталу звіту про діяльність мобільних мультидисциплінарних команд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8) запровадження універсального скринінгу станів психічного здоровʼя ветеранів війни на етапі повернення з військової служби до цивільного життя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—червень 2025 р.</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ветеранської політики Івано-Франківської облдержадміністрації</w:t>
            </w:r>
          </w:p>
        </w:tc>
        <w:tc>
          <w:tcPr>
            <w:tcW w:w="2066" w:type="dxa"/>
            <w:tcBorders/>
          </w:tcPr>
          <w:p>
            <w:pPr>
              <w:pStyle w:val="Normal"/>
              <w:rPr>
                <w:sz w:val="22"/>
                <w:szCs w:val="22"/>
              </w:rPr>
            </w:pPr>
            <w:r>
              <w:rPr>
                <w:sz w:val="22"/>
                <w:szCs w:val="22"/>
              </w:rPr>
              <w:t xml:space="preserve">розроблено та затверджено універсальний скринінг станів психічного здоровʼя ветеранів війни на етапі повернення з військової служби до цивільного життя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9) визначення і забезпечення необхідної кількості психологів, які надають кваліфіковану психологічну допомогу дітям, які перебувають у складних життєвих обставинах, зокрема дітям, які постраждали внаслідок збройної агресії проти України та збройних конфліктів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травень — листопад 2025 р.</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надання кваліфікованої психологічної допомоги дітям, які перебувають у складних життєвих обставинах, зокрема дітям, які постраждали внаслідок збройної агресії проти України та збройних конфліктів</w:t>
            </w:r>
          </w:p>
        </w:tc>
      </w:tr>
      <w:tr>
        <w:trPr>
          <w:trHeight w:val="1442"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10) визначення серед психологів таких, які потребують підвищення кваліфікації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щороку звіту про проведення курсів підвищення кваліфікації психологів</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12) організація проведення заходів з підвищення кваліфікації, тренінгів, семінарів тощо для працівників надавачів соціальних послуг, зокрема для соціальних працівників, з надання першої психологічної допомоги отримувачам соціальних послуг</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опублікування щокварталу звіту щодо проведених тренінгів, семінарів тощо для соціальних працівників з надання першої психологічної допомоги</w:t>
            </w:r>
          </w:p>
        </w:tc>
      </w:tr>
      <w:tr>
        <w:trPr>
          <w:trHeight w:val="38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14) поширення інструментів самооцінки психологічного стану вагітними жінками та батьками дітей раннього віку, розроблених МОЗ</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 xml:space="preserve">підготовлено звіт про поширення інструментів самооцінки психологічного стану вагітними жінками та батьками дітей раннього віку у закладах охорони здоров’я, що надають медичну допомогу вагітним жінкам та дітям раннього віку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15) забезпечення проведення інформаційно-просвітницької кампанії серед вагітних жінок, породіль та батьків дітей раннього віку щодо способів отримання психологічної допомоги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про результати проведення кампанії</w:t>
            </w:r>
          </w:p>
        </w:tc>
      </w:tr>
      <w:tr>
        <w:trPr>
          <w:trHeight w:val="23" w:hRule="atLeast"/>
        </w:trPr>
        <w:tc>
          <w:tcPr>
            <w:tcW w:w="1800" w:type="dxa"/>
            <w:tcBorders/>
          </w:tcPr>
          <w:p>
            <w:pPr>
              <w:pStyle w:val="Normal"/>
              <w:widowControl w:val="false"/>
              <w:rPr>
                <w:sz w:val="22"/>
                <w:szCs w:val="22"/>
              </w:rPr>
            </w:pPr>
            <w:r>
              <w:rPr>
                <w:sz w:val="22"/>
                <w:szCs w:val="22"/>
              </w:rPr>
              <w:t>66. Забезпечення розвитку системи надання послуг раннього втручання в кожній територіальній громаді</w:t>
            </w:r>
          </w:p>
          <w:p>
            <w:pPr>
              <w:pStyle w:val="Normal"/>
              <w:widowControl w:val="false"/>
              <w:jc w:val="both"/>
              <w:rPr>
                <w:sz w:val="22"/>
                <w:szCs w:val="22"/>
              </w:rPr>
            </w:pPr>
            <w:r>
              <w:rPr>
                <w:sz w:val="22"/>
                <w:szCs w:val="22"/>
              </w:rPr>
            </w:r>
          </w:p>
        </w:tc>
        <w:tc>
          <w:tcPr>
            <w:tcW w:w="3240" w:type="dxa"/>
            <w:tcBorders/>
          </w:tcPr>
          <w:p>
            <w:pPr>
              <w:pStyle w:val="Normal"/>
              <w:rPr>
                <w:sz w:val="22"/>
                <w:szCs w:val="22"/>
              </w:rPr>
            </w:pPr>
            <w:r>
              <w:rPr>
                <w:sz w:val="22"/>
                <w:szCs w:val="22"/>
              </w:rPr>
              <w:t>1) створення та поширення інформативних матеріалів (буклети, плакати, довідники) з детальною інформацією про те, що таке раннє втручання і як отримати доступ до послуги</w:t>
            </w:r>
          </w:p>
        </w:tc>
        <w:tc>
          <w:tcPr>
            <w:tcW w:w="3540" w:type="dxa"/>
            <w:tcBorders/>
          </w:tcPr>
          <w:p>
            <w:pPr>
              <w:pStyle w:val="Normal"/>
              <w:snapToGrid w:val="false"/>
              <w:rPr>
                <w:sz w:val="22"/>
                <w:szCs w:val="22"/>
              </w:rPr>
            </w:pPr>
            <w:r>
              <w:rPr>
                <w:sz w:val="22"/>
                <w:szCs w:val="22"/>
              </w:rPr>
            </w:r>
          </w:p>
        </w:tc>
        <w:tc>
          <w:tcPr>
            <w:tcW w:w="2040" w:type="dxa"/>
            <w:tcBorders/>
          </w:tcPr>
          <w:p>
            <w:pPr>
              <w:pStyle w:val="Normal"/>
              <w:jc w:val="center"/>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оприлюднення щокварталу переліку розроблених інформативних матеріалів (буклети, плакати, довідники) з детальною інформацією про те, що таке раннє втручання і як отримати доступ до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розроблення мультимедійного контенту (відео, аудіо, анімації) для поширення через різні платформи (соціальні мережі, YouTube, вебінари) інформації щодо послуг раннього втручання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jc w:val="center"/>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щороку мультимедійного контенту (відео, аудіо, анімації) для поширення через різні платформи (соціальні мережі, YouTube, вебінари) інформації щодо послуг раннього втручання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налагодження взаємодії між закладами охорони здоров’я, закладами освіти, закладами соціального захисту, громадськими об’єднаннями для поширення інформації серед батьків щодо послуги раннього втручання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про результати співпраці з дитячими лікарями, педіатрами, дитячими садками та школами для поширення інформації серед батьків щодо послуг раннього втручання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забезпечення підвищення рівня поінформованості сімей з дітьми, які мають порушення розвитку або в яких існує ризик виникнення таких порушень, щодо надання послуги раннього втручання з метою зниження рівня інституалізації дітей у ранньому віці та інвалідизації дітей</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оприлюднено звіт про результати проведення інформаційних заходів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впровадження інструментів раннього виявлення дітей, які мають потреби у підтримці у зв’язку з порушеннями розвитку та здоров’я або ризиками таких порушень, в практику роботи фахівців у сфері дошкільної освіти, охорони здоров’я, фахівців із соціальної роботи, а також поширення інформації про такі інструменти серед батьків немовлят, дітей раннього та дошкільного віку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—червень 2025 р.</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видано спільний наказ Мінсоцполітики, МОН, МОЗ про впровадження відповідних інструментів, а також програм підвищення кваліфікації із зазначеного питання фахівців у сфері дошкільної освіти, охорони здоров’я, фахівців із соціальної роботи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6) впровадження медико-соціальної моделі домашніх візитів надавачів послуги раннього втручання протягом перших трьох років життя дитини з урахуванням потреб дітей з інвалідністю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 грудень 2025 р.</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tc>
        <w:tc>
          <w:tcPr>
            <w:tcW w:w="2066" w:type="dxa"/>
            <w:tcBorders/>
          </w:tcPr>
          <w:p>
            <w:pPr>
              <w:pStyle w:val="Normal"/>
              <w:rPr>
                <w:sz w:val="22"/>
                <w:szCs w:val="22"/>
              </w:rPr>
            </w:pPr>
            <w:r>
              <w:rPr>
                <w:sz w:val="22"/>
                <w:szCs w:val="22"/>
              </w:rPr>
              <w:t>видано наказ МОЗ про здійснення домашніх візитів надавачів послуги раннього втручання протягом перших трьох років життя дитини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проведення навчання фахівців з оцінювання методології проведення оцінки ефективності надання послуги раннього втручання, здійснення щорічного моніторингу та оцінювання якості послуги раннього втручання, що вже надається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звіту про результати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jc w:val="both"/>
              <w:rPr>
                <w:sz w:val="22"/>
                <w:szCs w:val="22"/>
              </w:rPr>
            </w:pPr>
            <w:r>
              <w:rPr>
                <w:sz w:val="22"/>
                <w:szCs w:val="22"/>
              </w:rPr>
              <w:t>9) забезпечення визначення щороку потреб населення адміністративно-територіальної одиниці в послузі раннього втручання</w:t>
            </w:r>
          </w:p>
        </w:tc>
        <w:tc>
          <w:tcPr>
            <w:tcW w:w="3540" w:type="dxa"/>
            <w:tcBorders/>
          </w:tcPr>
          <w:p>
            <w:pPr>
              <w:pStyle w:val="Normal"/>
              <w:snapToGrid w:val="false"/>
              <w:jc w:val="both"/>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tc>
        <w:tc>
          <w:tcPr>
            <w:tcW w:w="2066" w:type="dxa"/>
            <w:tcBorders/>
          </w:tcPr>
          <w:p>
            <w:pPr>
              <w:pStyle w:val="Normal"/>
              <w:rPr>
                <w:sz w:val="22"/>
                <w:szCs w:val="22"/>
              </w:rPr>
            </w:pPr>
            <w:r>
              <w:rPr>
                <w:sz w:val="22"/>
                <w:szCs w:val="22"/>
              </w:rPr>
              <w:t xml:space="preserve">забезпечено підготовку щороку звіту про результати оцінювання потреб в послузі раннього втручання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10) розроблення за результатами визначення потреб населення адміністративно-територіальної одиниці в послузі раннього втручання заходів щодо утворення та забезпечення функціонування центрів (служб, відділень) раннього втручання на базі діючої мережі закладів з урахуванням потреб та фінансових можливостей бюджетів відповідної адміністративно-територіальної одиниці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здійснення заходів щодо функціонування центрів (служб, відділень) раннього втручання на базі діючої мережі закладів</w:t>
            </w:r>
          </w:p>
        </w:tc>
      </w:tr>
      <w:tr>
        <w:trPr>
          <w:trHeight w:val="4762" w:hRule="atLeast"/>
        </w:trPr>
        <w:tc>
          <w:tcPr>
            <w:tcW w:w="1800" w:type="dxa"/>
            <w:tcBorders/>
          </w:tcPr>
          <w:p>
            <w:pPr>
              <w:pStyle w:val="Normal"/>
              <w:widowControl w:val="false"/>
              <w:rPr>
                <w:sz w:val="22"/>
                <w:szCs w:val="22"/>
              </w:rPr>
            </w:pPr>
            <w:r>
              <w:rPr>
                <w:sz w:val="22"/>
                <w:szCs w:val="22"/>
              </w:rPr>
              <w:t>67. Забезпечення надання реабілітаційних, абілітаційних послуг, педіатричної реабілітації, зокрема за місцем проживання в територіальній громаді</w:t>
            </w:r>
          </w:p>
        </w:tc>
        <w:tc>
          <w:tcPr>
            <w:tcW w:w="3240" w:type="dxa"/>
            <w:tcBorders/>
          </w:tcPr>
          <w:p>
            <w:pPr>
              <w:pStyle w:val="Normal"/>
              <w:rPr>
                <w:sz w:val="22"/>
                <w:szCs w:val="22"/>
              </w:rPr>
            </w:pPr>
            <w:r>
              <w:rPr>
                <w:sz w:val="22"/>
                <w:szCs w:val="22"/>
              </w:rPr>
              <w:t>7) забезпечення впровадження доказової реабілітації та Міжнародної класифікації функціонування, обмежень життєдіяльності та здоров’я (клінічні настанови, стандарти, протоколи надання реабілітаційної допомоги та 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про проведення роботи із впровадження доказової реабілітації та Міжнародної класифікації функціонування, обмежень життєдіяльності та здоров’я (клінічні настанови, стандарти, протоколи надання реабілітаційної допомоги та абілітації)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8) забезпечення проведення моніторингу щодо впровадження доказової реабілітації у відомчих закладах охорони здоров’я, зокрема із залученням організацій пацієнтів та професійної спільноти фахівців з реабілітації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щороку звіту про результати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9) посилення заходів з моніторингу надання реабілітаційної допомоги в рамках програми медичних гарантій з метою контролю за якістю надання послуг та ефективним використанням коштів програми медичних гарантій, зокрема із залученням організацій пацієнтів та професійної спільноти фахівців з реабілітації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щороку звіту про результати проведення моніторингу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10) забезпечення засновником закладу охорони здоровʼя організації моніторингових візитів  до закладів охорони здоровʼя щодо дотримання вимог наказу МОЗ від 3 серпня 2021 р. № 1614 до інфекційного контролю за участю фахівців центрів контролю та  профілактики хвороб МОЗ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кількість моніторингових візитів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11) формування концептуальних підходів щодо розвитку реабілітаційних послуг за місцем проживання/перебування особи в рамках розвитку амбулаторної реабілітаційної послуги/реабілітації у громаді (зокрема в рамках реабілітаційної монопослуги) та забезпечення системи інтегрованої допомоги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затверджено нові підходи до розвитку реабілітаційних послуг за місцем проживання/перебуван-ня особи в рамках розвитку амбулаторної реабілітаційної послуги/реабілітації у громаді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12) імплементація реабілітаційних інструментів обстеження, запровадження документування оцінки функціонування та якості надання реабілітаційних послуг</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 xml:space="preserve">забезпечено підготовку щокварталу звіту про результати імплементації реабілітаційних інструментів обстеження, запровадження документування оцінки функціонування та якості надання реабілітаційних послуг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14) забезпечення навчання у закладах охорони здоров’я для молодших сестер медичних (молодших братів медичних) з догляду за хворими з питань догляду за пацієнтом, безпечного переміщення, профілактики пролежнів, застійних пневмоній та інших ускладнень</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про проведене навчання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15) забезпечення надання консультативних послуг для призначення/зміни/підбору технічного засобу мультидисциплінарною реабілітаційною командою/фахівцем з реабілітації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опубліковано інформацію щодо доступності послуги для призначення/зміни/</w:t>
              <w:br/>
              <w:t>підбору технічного засобу мультидисциплінарною реабілітаційною командою/фахівцем з реабілітації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16) проведення просвітницької кампанії щодо пояснення процесів лікування, реабілітації та адаптації ветеранів війни, членів їх родин, різних груп населення, які зазнали впливу війни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rPr>
              <w:t>Управління з питань ветеранської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звіту про результати проведеної просвітницької кампанії</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17) формування мережі надання реабілітаційної допомоги дітям (на базі спроможної мережі закладів охорони здоров’я) та розгалуженої мережі надавачів амбулаторної реабілітаційної допомоги, зокрема реабілітаційної монопослуги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звіту про здійснені заходи із розбудови мережі надання реабілітаційної допомоги дітям</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18) за підсумками 2025 року удосконалення пакетів програми медичних гарантій для відповідності їх потребам дітей, зокрема розмежування стаціонарної та амбулаторної реабілітаційної допомоги дітям віком до трьох років та уможливлення надання реабілітаційної монопослуги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результати удосконалення реабілітаційних пакетів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23) забезпечення розвитку послуги реабілітації дітей віком до трьох років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 xml:space="preserve">забезпечено підготовку щокварталу звіту про здійснені заходи з розвитку послуги реабілітації дітей віком до трьох років з інформацією про кількість дітей, які отримали таку послугу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24) оновлення положення про здійснення катамнестичного спостереження за дітьми з груп ризику розвитку хронічних захворювань та/або затримки розвитку впродовж перших трьох років життя, введення до складу фахівців з реабілітації</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 xml:space="preserve">затверджено оновлене положення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27) забезпечення створення та функціонування в реабілітаційних відділеннях закладів охорони здоров’я кабінетів асистивних технологій  для здійснення підбору, налаштування, виготовлення та навчання користуванню допоміжними засобами реабілітації, зокрема проведення протезування пацієнтів з ампутаціями у закладах охорони здоров’я, визначених у рамках реабілітаційного маршруту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створення та функціонування в реабілітаційних відділеннях закладів охорони здоров’я кабінетів асистивних технологій  для здійснення підбору, налаштування, виготовлення та навчання користуванню допоміжними засобами реабілітації, зокрема проведення протезування пацієнтів з ампутаціями у закладах охорони здоров’я, визначених у рамках реабілітаційного маршруту (з фотографіями)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32) забезпечення координації та доступності в територіальних громадах послуг у сфері охорони здоров’я, зокрема реабілітації немовлят, які народилися з порушеннями розвитку передчасно та/або хворими, протягом перших трьох років життя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rPr>
              <w:t>Служба у справах дітей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звіту про кількість дітей з порушеннями розвитку, які отримують соціальні, освітні послуги та послуги у сфері охорони здоров’я  в територіальних громадах</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33) забезпечення доступності послуги реабілітаційної допомоги дітям у амбулаторних та стаціонарних умовах</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звіту щодо кількості осіб, які отримали послугу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34) забезпечення надання психіатричної допомоги дітям у багатопрофільних дитячих лікарнях шляхом відкриття відділень</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щокварталу звіту щодо кількості осіб, які отримали допомогу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35) забезпечення розвитку програми місцевих стимулів фахівців з психічного здоров’я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щороку інформації про розвиток програми місцевих стимулів фахівців з психічного здоров’я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36) забезпечення доступності послуг паліативної допомоги дітям (зокрема мобільної паліативної допомоги)</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37) забезпечення доступності в територіальних громадах соціальних послуг супроводу під час інклюзивного навчання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оприлюднення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38) забезпечення доступності послуг денного догляду дітей з інвалідністю </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Служба у справах дітей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39) забезпечення доступності послуг підтриманого проживання молоді з інвалідністю</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спорту та молодіжної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40) забезпечення доступності послуг інклюзивного навчання в центрах професійної технічної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41) забезпечення надання послуг інклюзивного навчання в закладах вищої освіти</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щороку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42) забезпечення доступності послуги “Муніципальна няня”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щодо кількості осіб, які отримали послугу</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43) забезпечення доступності послуг інклюзивного позашкільного навчання </w:t>
            </w:r>
          </w:p>
          <w:p>
            <w:pPr>
              <w:pStyle w:val="Normal"/>
              <w:rPr>
                <w:sz w:val="22"/>
                <w:szCs w:val="22"/>
              </w:rPr>
            </w:pPr>
            <w:r>
              <w:rPr>
                <w:sz w:val="22"/>
                <w:szCs w:val="22"/>
              </w:rPr>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щокварталу звіту щодо кількості осіб, які отримали послуги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49) забезпечення розвитку соціально-медичних послуг у сфері охорони здоров’я як обов’язкової складової повернення та в майбутньому направлення до органів соціального захисту населення або до відповідних організацій, які допомагають ветеранам війни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з питань ветеранської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оновленого переліку соціально-медичних послуг</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54) розроблення та пілотування моделі реабілітації на базі первинної медичної допомоги громад для покращення доступу послуг у громадах</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підготовлено звіт щодо розроблених моделей реабілітації на базі первинної медичної допомоги громад для покращення доступу послуг у громадах</w:t>
            </w:r>
          </w:p>
          <w:p>
            <w:pPr>
              <w:pStyle w:val="Normal"/>
              <w:rPr>
                <w:sz w:val="22"/>
                <w:szCs w:val="22"/>
              </w:rPr>
            </w:pPr>
            <w:r>
              <w:rPr>
                <w:sz w:val="22"/>
                <w:szCs w:val="22"/>
              </w:rPr>
              <w:t>підготовлено звіт щодо пілотування моделей реабілітації на базі первинної медичної допомоги громад для покращення доступу послуг у громадах</w:t>
            </w:r>
          </w:p>
        </w:tc>
      </w:tr>
      <w:tr>
        <w:trPr>
          <w:trHeight w:val="23" w:hRule="atLeast"/>
        </w:trPr>
        <w:tc>
          <w:tcPr>
            <w:tcW w:w="1800" w:type="dxa"/>
            <w:tcBorders/>
          </w:tcPr>
          <w:p>
            <w:pPr>
              <w:pStyle w:val="Normal"/>
              <w:widowControl w:val="false"/>
              <w:rPr>
                <w:sz w:val="22"/>
                <w:szCs w:val="22"/>
              </w:rPr>
            </w:pPr>
            <w:r>
              <w:rPr>
                <w:sz w:val="22"/>
                <w:szCs w:val="22"/>
              </w:rPr>
              <w:t>68. Розвиток системи надання паліативних послуг в кожній територіальній громаді</w:t>
            </w:r>
          </w:p>
        </w:tc>
        <w:tc>
          <w:tcPr>
            <w:tcW w:w="3240" w:type="dxa"/>
            <w:tcBorders/>
          </w:tcPr>
          <w:p>
            <w:pPr>
              <w:pStyle w:val="Normal"/>
              <w:rPr>
                <w:sz w:val="22"/>
                <w:szCs w:val="22"/>
              </w:rPr>
            </w:pPr>
            <w:r>
              <w:rPr>
                <w:sz w:val="22"/>
                <w:szCs w:val="22"/>
              </w:rPr>
              <w:t>1) формування ліжкового фонду регіональної мережі паліативної допомоги відповідно до затвердженого розрахунку з урахуванням потреб мешканців всіх громад в стаціонарній паліативній допомозі та організація задоволення потреб пацієнтів у спеціалізованій паліативній допомозі за місцем їх перебування за пакетом медичних послуг у сфері охорони здоров’я програми медичних гарантій “Мобільна паліативна медична допомога дорослим і дітям”</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звіту формування мережі паліативної медичної допомоги</w:t>
            </w:r>
          </w:p>
        </w:tc>
      </w:tr>
      <w:tr>
        <w:trPr>
          <w:trHeight w:val="23" w:hRule="atLeast"/>
        </w:trPr>
        <w:tc>
          <w:tcPr>
            <w:tcW w:w="1800" w:type="dxa"/>
            <w:tcBorders/>
          </w:tcPr>
          <w:p>
            <w:pPr>
              <w:pStyle w:val="Normal"/>
              <w:widowControl w:val="false"/>
              <w:snapToGrid w:val="false"/>
              <w:jc w:val="both"/>
              <w:rPr>
                <w:sz w:val="22"/>
                <w:szCs w:val="22"/>
              </w:rPr>
            </w:pPr>
            <w:r>
              <w:rPr>
                <w:sz w:val="22"/>
                <w:szCs w:val="22"/>
              </w:rPr>
            </w:r>
          </w:p>
        </w:tc>
        <w:tc>
          <w:tcPr>
            <w:tcW w:w="3240" w:type="dxa"/>
            <w:tcBorders/>
          </w:tcPr>
          <w:p>
            <w:pPr>
              <w:pStyle w:val="Normal"/>
              <w:rPr>
                <w:sz w:val="22"/>
                <w:szCs w:val="22"/>
              </w:rPr>
            </w:pPr>
            <w:r>
              <w:rPr>
                <w:sz w:val="22"/>
                <w:szCs w:val="22"/>
              </w:rPr>
              <w:t>2) надання спеціалізованої паліативної допомоги за місцем перебування пацієнтів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tc>
        <w:tc>
          <w:tcPr>
            <w:tcW w:w="2066" w:type="dxa"/>
            <w:tcBorders/>
          </w:tcPr>
          <w:p>
            <w:pPr>
              <w:pStyle w:val="Normal"/>
              <w:rPr>
                <w:sz w:val="22"/>
                <w:szCs w:val="22"/>
              </w:rPr>
            </w:pPr>
            <w:r>
              <w:rPr>
                <w:sz w:val="22"/>
                <w:szCs w:val="22"/>
              </w:rPr>
              <w:t>забезпечено підготовку щороку звіту про забезпечення надання паліативної допомоги в рамках програми медичних гарантій за пакетом “Мобільна паліативна медична допомога дорослим і дітям”</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 xml:space="preserve">Стратегічна ціль “Держава сприяє підвищенню рівня захисту прав жінок та чоловіків, хлопчиків та дівчат, </w:t>
              <w:br/>
              <w:t>зокрема осіб з інвалідністю”</w:t>
            </w:r>
          </w:p>
        </w:tc>
      </w:tr>
      <w:tr>
        <w:trPr>
          <w:trHeight w:val="4678" w:hRule="atLeast"/>
        </w:trPr>
        <w:tc>
          <w:tcPr>
            <w:tcW w:w="1800" w:type="dxa"/>
            <w:tcBorders/>
          </w:tcPr>
          <w:p>
            <w:pPr>
              <w:pStyle w:val="Normal"/>
              <w:keepNext w:val="true"/>
              <w:keepLines/>
              <w:widowControl w:val="false"/>
              <w:rPr>
                <w:sz w:val="22"/>
                <w:szCs w:val="22"/>
              </w:rPr>
            </w:pPr>
            <w:r>
              <w:rPr>
                <w:sz w:val="22"/>
                <w:szCs w:val="22"/>
              </w:rPr>
              <w:t>69.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w:t>
            </w:r>
          </w:p>
        </w:tc>
        <w:tc>
          <w:tcPr>
            <w:tcW w:w="3240" w:type="dxa"/>
            <w:tcBorders/>
          </w:tcPr>
          <w:p>
            <w:pPr>
              <w:pStyle w:val="Normal"/>
              <w:rPr>
                <w:sz w:val="22"/>
                <w:szCs w:val="22"/>
              </w:rPr>
            </w:pPr>
            <w:r>
              <w:rPr>
                <w:sz w:val="22"/>
                <w:szCs w:val="22"/>
              </w:rPr>
              <w:t>2) забезпечення розвитку системи надання соціальних послуг особам, які постраждали від насильства за ознакою статі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 xml:space="preserve">забезпечено щокварталу оприлюднення інформації щодо розвитку системи надання соціальних послуг </w:t>
            </w:r>
          </w:p>
        </w:tc>
      </w:tr>
      <w:tr>
        <w:trPr>
          <w:trHeight w:val="3324" w:hRule="atLeast"/>
        </w:trPr>
        <w:tc>
          <w:tcPr>
            <w:tcW w:w="1800" w:type="dxa"/>
            <w:tcBorders/>
          </w:tcPr>
          <w:p>
            <w:pPr>
              <w:pStyle w:val="Normal"/>
              <w:widowControl w:val="false"/>
              <w:rPr>
                <w:sz w:val="22"/>
                <w:szCs w:val="22"/>
              </w:rPr>
            </w:pPr>
            <w:r>
              <w:rPr>
                <w:sz w:val="22"/>
                <w:szCs w:val="22"/>
              </w:rPr>
              <w:t xml:space="preserve">72. Реалізація програм підтриманого проживання осіб з інвалідністю та людей старшого віку, які перебувають в закладах інституційного догляду, та популяризація догляду в родинах </w:t>
            </w:r>
          </w:p>
        </w:tc>
        <w:tc>
          <w:tcPr>
            <w:tcW w:w="3240" w:type="dxa"/>
            <w:tcBorders/>
          </w:tcPr>
          <w:p>
            <w:pPr>
              <w:pStyle w:val="Normal"/>
              <w:rPr>
                <w:sz w:val="22"/>
                <w:szCs w:val="22"/>
              </w:rPr>
            </w:pPr>
            <w:r>
              <w:rPr>
                <w:sz w:val="22"/>
                <w:szCs w:val="22"/>
              </w:rPr>
              <w:t>2) започаткування спільних вечорів/зустрічей з особами старшого віку щодо обміну досвідом на базі центрів життєстійкості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щокварталу інформації про проведення спільних заходів</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надання соціальних послуг особам старшого віку з метою їх реінтеграції у життя громади, адаптації до вікових змін шляхом розвитку надавачів соціальних послуг</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 xml:space="preserve">забезпечено опублікування щороку звіту про результати розвитку надавачів  соціальних послуг особам старшого віку </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 xml:space="preserve">4) створення мережі осель підтриманого проживання </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щокварталу інформації про мережу осель підтриманого проживання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6) забезпечення розвитку мережі надавачів соціальних послуг для осіб старшого віку в громадах</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забезпечено оприлюднення щокварталу звіту про мережу надавачів соціальних послуг для осіб старшого віку в громадах</w:t>
            </w:r>
          </w:p>
        </w:tc>
      </w:tr>
      <w:tr>
        <w:trPr>
          <w:trHeight w:val="23" w:hRule="atLeast"/>
        </w:trPr>
        <w:tc>
          <w:tcPr>
            <w:tcW w:w="15026" w:type="dxa"/>
            <w:gridSpan w:val="6"/>
            <w:tcBorders/>
          </w:tcPr>
          <w:p>
            <w:pPr>
              <w:pStyle w:val="Normal"/>
              <w:spacing w:before="120" w:after="0"/>
              <w:jc w:val="center"/>
              <w:rPr>
                <w:sz w:val="22"/>
                <w:szCs w:val="22"/>
              </w:rPr>
            </w:pPr>
            <w:r>
              <w:rPr>
                <w:sz w:val="22"/>
                <w:szCs w:val="22"/>
              </w:rPr>
              <w:t>Стратегічна ціль “Територіальні громади впроваджують заходи безбарʼєрності та посилюють свою спроможність”</w:t>
            </w:r>
          </w:p>
        </w:tc>
      </w:tr>
      <w:tr>
        <w:trPr>
          <w:trHeight w:val="23" w:hRule="atLeast"/>
        </w:trPr>
        <w:tc>
          <w:tcPr>
            <w:tcW w:w="1800" w:type="dxa"/>
            <w:tcBorders/>
          </w:tcPr>
          <w:p>
            <w:pPr>
              <w:pStyle w:val="Normal"/>
              <w:widowControl w:val="false"/>
              <w:rPr>
                <w:sz w:val="22"/>
                <w:szCs w:val="22"/>
              </w:rPr>
            </w:pPr>
            <w:r>
              <w:rPr>
                <w:sz w:val="22"/>
                <w:szCs w:val="22"/>
              </w:rPr>
              <w:t>73. Розвиток інституційної спроможності органів місцевого самоврядування щодо безбарʼєрності</w:t>
            </w:r>
          </w:p>
        </w:tc>
        <w:tc>
          <w:tcPr>
            <w:tcW w:w="3240" w:type="dxa"/>
            <w:vMerge w:val="restart"/>
            <w:tcBorders/>
          </w:tcPr>
          <w:p>
            <w:pPr>
              <w:pStyle w:val="Normal"/>
              <w:rPr>
                <w:sz w:val="22"/>
                <w:szCs w:val="22"/>
              </w:rPr>
            </w:pPr>
            <w:r>
              <w:rPr>
                <w:sz w:val="22"/>
                <w:szCs w:val="22"/>
              </w:rPr>
              <w:t>1) визначення розпорядженням міського, селищного або сільського голови в територіальних громадах відповідальних осіб за напрямами безбар’єрності</w:t>
            </w:r>
          </w:p>
        </w:tc>
        <w:tc>
          <w:tcPr>
            <w:tcW w:w="3540" w:type="dxa"/>
            <w:vMerge w:val="restart"/>
            <w:tcBorders/>
          </w:tcPr>
          <w:p>
            <w:pPr>
              <w:pStyle w:val="Normal"/>
              <w:snapToGrid w:val="false"/>
              <w:rPr>
                <w:sz w:val="22"/>
                <w:szCs w:val="22"/>
              </w:rPr>
            </w:pPr>
            <w:r>
              <w:rPr>
                <w:sz w:val="22"/>
                <w:szCs w:val="22"/>
              </w:rPr>
            </w:r>
          </w:p>
        </w:tc>
        <w:tc>
          <w:tcPr>
            <w:tcW w:w="2040" w:type="dxa"/>
            <w:vMerge w:val="restart"/>
            <w:tcBorders/>
          </w:tcPr>
          <w:p>
            <w:pPr>
              <w:pStyle w:val="Normal"/>
              <w:widowControl w:val="false"/>
              <w:rPr>
                <w:sz w:val="22"/>
                <w:szCs w:val="22"/>
              </w:rPr>
            </w:pPr>
            <w:r>
              <w:rPr>
                <w:sz w:val="22"/>
                <w:szCs w:val="22"/>
              </w:rPr>
              <w:t>січень —червень 2025 р.</w:t>
            </w:r>
          </w:p>
        </w:tc>
        <w:tc>
          <w:tcPr>
            <w:tcW w:w="2340" w:type="dxa"/>
            <w:vMerge w:val="restart"/>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vMerge w:val="restart"/>
            <w:tcBorders/>
          </w:tcPr>
          <w:p>
            <w:pPr>
              <w:pStyle w:val="Normal"/>
              <w:rPr>
                <w:sz w:val="22"/>
                <w:szCs w:val="22"/>
              </w:rPr>
            </w:pPr>
            <w:r>
              <w:rPr>
                <w:sz w:val="22"/>
                <w:szCs w:val="22"/>
              </w:rPr>
              <w:t>прийнято рішення про призначення відповідальної особи</w:t>
            </w:r>
          </w:p>
        </w:tc>
      </w:tr>
      <w:tr>
        <w:trPr>
          <w:trHeight w:val="253" w:hRule="atLeast"/>
        </w:trPr>
        <w:tc>
          <w:tcPr>
            <w:tcW w:w="1800" w:type="dxa"/>
            <w:vMerge w:val="restart"/>
            <w:tcBorders/>
            <w:vAlign w:val="center"/>
          </w:tcPr>
          <w:p>
            <w:pPr>
              <w:pStyle w:val="Normal"/>
              <w:snapToGrid w:val="false"/>
              <w:rPr>
                <w:sz w:val="22"/>
                <w:szCs w:val="22"/>
              </w:rPr>
            </w:pPr>
            <w:r>
              <w:rPr>
                <w:sz w:val="22"/>
                <w:szCs w:val="22"/>
              </w:rPr>
            </w:r>
          </w:p>
        </w:tc>
        <w:tc>
          <w:tcPr>
            <w:tcW w:w="3240" w:type="dxa"/>
            <w:vMerge w:val="continue"/>
            <w:tcBorders/>
          </w:tcPr>
          <w:p>
            <w:pPr>
              <w:pStyle w:val="Normal"/>
              <w:snapToGrid w:val="false"/>
              <w:rPr>
                <w:sz w:val="22"/>
                <w:szCs w:val="22"/>
              </w:rPr>
            </w:pPr>
            <w:r>
              <w:rPr>
                <w:sz w:val="22"/>
                <w:szCs w:val="22"/>
              </w:rPr>
            </w:r>
          </w:p>
        </w:tc>
        <w:tc>
          <w:tcPr>
            <w:tcW w:w="3540" w:type="dxa"/>
            <w:vMerge w:val="continue"/>
            <w:tcBorders/>
          </w:tcPr>
          <w:p>
            <w:pPr>
              <w:pStyle w:val="Normal"/>
              <w:snapToGrid w:val="false"/>
              <w:rPr>
                <w:sz w:val="22"/>
                <w:szCs w:val="22"/>
              </w:rPr>
            </w:pPr>
            <w:r>
              <w:rPr>
                <w:sz w:val="22"/>
                <w:szCs w:val="22"/>
              </w:rPr>
            </w:r>
          </w:p>
        </w:tc>
        <w:tc>
          <w:tcPr>
            <w:tcW w:w="2040" w:type="dxa"/>
            <w:vMerge w:val="continue"/>
            <w:tcBorders/>
          </w:tcPr>
          <w:p>
            <w:pPr>
              <w:pStyle w:val="Normal"/>
              <w:widowControl w:val="false"/>
              <w:snapToGrid w:val="false"/>
              <w:rPr>
                <w:sz w:val="22"/>
                <w:szCs w:val="22"/>
              </w:rPr>
            </w:pPr>
            <w:r>
              <w:rPr>
                <w:sz w:val="22"/>
                <w:szCs w:val="22"/>
              </w:rPr>
            </w:r>
          </w:p>
        </w:tc>
        <w:tc>
          <w:tcPr>
            <w:tcW w:w="2340" w:type="dxa"/>
            <w:vMerge w:val="continue"/>
            <w:tcBorders/>
          </w:tcPr>
          <w:p>
            <w:pPr>
              <w:pStyle w:val="Normal"/>
              <w:snapToGrid w:val="false"/>
              <w:rPr>
                <w:sz w:val="22"/>
                <w:szCs w:val="22"/>
              </w:rPr>
            </w:pPr>
            <w:r>
              <w:rPr>
                <w:sz w:val="22"/>
                <w:szCs w:val="22"/>
              </w:rPr>
            </w:r>
          </w:p>
        </w:tc>
        <w:tc>
          <w:tcPr>
            <w:tcW w:w="2066" w:type="dxa"/>
            <w:vMerge w:val="continue"/>
            <w:tcBorders/>
          </w:tcPr>
          <w:p>
            <w:pPr>
              <w:pStyle w:val="Normal"/>
              <w:snapToGrid w:val="false"/>
              <w:rPr>
                <w:sz w:val="22"/>
                <w:szCs w:val="22"/>
              </w:rPr>
            </w:pPr>
            <w:r>
              <w:rPr>
                <w:sz w:val="22"/>
                <w:szCs w:val="22"/>
              </w:rPr>
            </w:r>
          </w:p>
        </w:tc>
      </w:tr>
      <w:tr>
        <w:trPr>
          <w:trHeight w:val="23" w:hRule="atLeast"/>
        </w:trPr>
        <w:tc>
          <w:tcPr>
            <w:tcW w:w="1800" w:type="dxa"/>
            <w:vMerge w:val="continue"/>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3) проведення тренінгів для відповідальних осіб за напрямами безбар’єрності щодо проведення аналізу доступності територіальної громади за всіма напрямами безбарʼєрності із залученням організацій громадянського суспільства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щокварталу звіту про результати проведених тренінгів</w:t>
            </w:r>
          </w:p>
        </w:tc>
      </w:tr>
      <w:tr>
        <w:trPr>
          <w:trHeight w:val="23" w:hRule="atLeast"/>
        </w:trPr>
        <w:tc>
          <w:tcPr>
            <w:tcW w:w="1800" w:type="dxa"/>
            <w:vMerge w:val="continue"/>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аналізу доступності територіальних громад за всіма напрямами безбарʼєрності із залученням організацій громадянського суспільства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щороку звіту про результати аналізу доступності громад</w:t>
            </w:r>
          </w:p>
        </w:tc>
      </w:tr>
      <w:tr>
        <w:trPr>
          <w:trHeight w:val="23" w:hRule="atLeast"/>
        </w:trPr>
        <w:tc>
          <w:tcPr>
            <w:tcW w:w="1800" w:type="dxa"/>
            <w:vMerge w:val="continue"/>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визначення переліку актуальних та пріоритетних потреб у заходах безбарʼєрності за результатами аналізу територіальних громад за всіма напрямами безбарʼєрності із залученням організацій громадянського суспільства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щороку переліку</w:t>
            </w:r>
          </w:p>
        </w:tc>
      </w:tr>
      <w:tr>
        <w:trPr>
          <w:trHeight w:val="23" w:hRule="atLeast"/>
        </w:trPr>
        <w:tc>
          <w:tcPr>
            <w:tcW w:w="1800" w:type="dxa"/>
            <w:vMerge w:val="continue"/>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 xml:space="preserve">6) формування переліку партнерів з розвитку  для проектної діяльності органів місцевого самоврядування в контексті державної політики у сфері безбар’єрного простору </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сформовано перелік партнерів з розвитку</w:t>
            </w:r>
          </w:p>
        </w:tc>
      </w:tr>
      <w:tr>
        <w:trPr>
          <w:trHeight w:val="23" w:hRule="atLeast"/>
        </w:trPr>
        <w:tc>
          <w:tcPr>
            <w:tcW w:w="1800" w:type="dxa"/>
            <w:vMerge w:val="continue"/>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7) визначення обсягів та джерел фінансування на здійснення кожного заходу завдання 73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формування щороку бюджету на здійснення заходів</w:t>
            </w:r>
          </w:p>
        </w:tc>
      </w:tr>
      <w:tr>
        <w:trPr>
          <w:trHeight w:val="23" w:hRule="atLeast"/>
        </w:trPr>
        <w:tc>
          <w:tcPr>
            <w:tcW w:w="1800" w:type="dxa"/>
            <w:vMerge w:val="continue"/>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8) утворення місцевих рад безбар’єрності у кожній територіальній громаді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 xml:space="preserve">прийнято рішення місцевих рад про утворення Ради безбар’єрності </w:t>
            </w:r>
          </w:p>
        </w:tc>
      </w:tr>
      <w:tr>
        <w:trPr>
          <w:trHeight w:val="23" w:hRule="atLeast"/>
        </w:trPr>
        <w:tc>
          <w:tcPr>
            <w:tcW w:w="1800" w:type="dxa"/>
            <w:vMerge w:val="continue"/>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9) забезпечення відкритості засідань місцевих рад безбар’єрності (онлайн-трансляція або запис засідання)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підготовлено звіт про кількість проведених відкритих засідань Ради безбар’єрності</w:t>
            </w:r>
          </w:p>
        </w:tc>
      </w:tr>
      <w:tr>
        <w:trPr>
          <w:trHeight w:val="23" w:hRule="atLeast"/>
        </w:trPr>
        <w:tc>
          <w:tcPr>
            <w:tcW w:w="1800" w:type="dxa"/>
            <w:vMerge w:val="continue"/>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10) висвітлення результатів діяльності місцевих рад безбар’єрності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оприлюднено інформацію на офіційних веб-сайтах про результати засідань місцевих рад безбар’єрності</w:t>
            </w:r>
          </w:p>
        </w:tc>
      </w:tr>
      <w:tr>
        <w:trPr>
          <w:trHeight w:val="23" w:hRule="atLeast"/>
        </w:trPr>
        <w:tc>
          <w:tcPr>
            <w:tcW w:w="1800" w:type="dxa"/>
            <w:vMerge w:val="continue"/>
            <w:tcBorders/>
            <w:vAlign w:val="center"/>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11) розроблення обласних і місцевих планів заходів із впровадження безбар’єрного простору (у разі розроблення місцевих планів відновлення та розвитку регіонів включення до них окремого розділу про створення безбар’єрного простору)</w:t>
            </w:r>
          </w:p>
        </w:tc>
        <w:tc>
          <w:tcPr>
            <w:tcW w:w="3540" w:type="dxa"/>
            <w:tcBorders/>
          </w:tcPr>
          <w:p>
            <w:pPr>
              <w:pStyle w:val="Normal"/>
              <w:snapToGrid w:val="false"/>
              <w:rPr>
                <w:sz w:val="22"/>
                <w:szCs w:val="22"/>
              </w:rPr>
            </w:pPr>
            <w:r>
              <w:rPr>
                <w:sz w:val="22"/>
                <w:szCs w:val="22"/>
              </w:rPr>
            </w:r>
          </w:p>
        </w:tc>
        <w:tc>
          <w:tcPr>
            <w:tcW w:w="2040" w:type="dxa"/>
            <w:tcBorders/>
          </w:tcPr>
          <w:p>
            <w:pPr>
              <w:pStyle w:val="Normal"/>
              <w:widowControl w:val="false"/>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затверджено обласні і місцеві плани заходів</w:t>
            </w:r>
          </w:p>
        </w:tc>
      </w:tr>
      <w:tr>
        <w:trPr>
          <w:trHeight w:val="23" w:hRule="atLeast"/>
        </w:trPr>
        <w:tc>
          <w:tcPr>
            <w:tcW w:w="1800" w:type="dxa"/>
            <w:vMerge w:val="restart"/>
            <w:tcBorders/>
          </w:tcPr>
          <w:p>
            <w:pPr>
              <w:pStyle w:val="Normal"/>
              <w:keepNext w:val="true"/>
              <w:keepLines/>
              <w:widowControl w:val="false"/>
              <w:rPr>
                <w:sz w:val="22"/>
                <w:szCs w:val="22"/>
              </w:rPr>
            </w:pPr>
            <w:r>
              <w:rPr>
                <w:sz w:val="22"/>
                <w:szCs w:val="22"/>
              </w:rPr>
              <w:t>74. Забезпечення щоквартального навчання та підвищення кваліфікації представників органів місцевого самоврядування щодо безбарʼєрності просторів і транспорту, безбар’єрності товарів і їх закупівлі, безбар’єрності інформації і безбар’єрності послуг</w:t>
            </w:r>
          </w:p>
        </w:tc>
        <w:tc>
          <w:tcPr>
            <w:tcW w:w="3240" w:type="dxa"/>
            <w:tcBorders/>
          </w:tcPr>
          <w:p>
            <w:pPr>
              <w:pStyle w:val="Normal"/>
              <w:keepNext w:val="true"/>
              <w:keepLines/>
              <w:rPr>
                <w:sz w:val="22"/>
                <w:szCs w:val="22"/>
              </w:rPr>
            </w:pPr>
            <w:r>
              <w:rPr>
                <w:sz w:val="22"/>
                <w:szCs w:val="22"/>
              </w:rPr>
              <w:t>1) проведення навчання з питань безбар’єрності для представників органів місцевого самоврядування</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 xml:space="preserve">забезпечено підготовку щокварталу звіту про кількість проведених навчальних заходів та кількість учасників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забезпечення розроблення та реалізації навчальної програми щодо ефективної взаємодії коректної  комунікації з особами з порушеннями pyxy, слуху, зору та іншими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Івано-Франківський регіональний центр підвищення кваліфікації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щокварталу звіту про кількість проведених навчальних заходів та кількість учасників</w:t>
            </w:r>
          </w:p>
        </w:tc>
      </w:tr>
      <w:tr>
        <w:trPr>
          <w:trHeight w:val="23" w:hRule="atLeast"/>
        </w:trPr>
        <w:tc>
          <w:tcPr>
            <w:tcW w:w="1800" w:type="dxa"/>
            <w:vMerge w:val="restart"/>
            <w:tcBorders/>
          </w:tcPr>
          <w:p>
            <w:pPr>
              <w:pStyle w:val="Normal"/>
              <w:keepNext w:val="true"/>
              <w:keepLines/>
              <w:widowControl w:val="false"/>
              <w:rPr>
                <w:sz w:val="22"/>
                <w:szCs w:val="22"/>
              </w:rPr>
            </w:pPr>
            <w:r>
              <w:rPr>
                <w:sz w:val="22"/>
                <w:szCs w:val="22"/>
              </w:rPr>
              <w:t>75. Забезпечення розвитку спільноти представників органів місцевого самоврядування з питань безбарʼєрності</w:t>
            </w:r>
          </w:p>
        </w:tc>
        <w:tc>
          <w:tcPr>
            <w:tcW w:w="3240" w:type="dxa"/>
            <w:tcBorders/>
          </w:tcPr>
          <w:p>
            <w:pPr>
              <w:pStyle w:val="Normal"/>
              <w:keepNext w:val="true"/>
              <w:keepLines/>
              <w:rPr>
                <w:sz w:val="22"/>
                <w:szCs w:val="22"/>
              </w:rPr>
            </w:pPr>
            <w:r>
              <w:rPr>
                <w:sz w:val="22"/>
                <w:szCs w:val="22"/>
              </w:rPr>
              <w:t>1) запровадження системи рейтингів щодо розвитку спільноти представників органів місцевого самоврядування з питань безбарʼєрності</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розроблено та затверджено систему рейтингів з питань безбар’єрності для органів місцевого самоврядування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створення мережі спільноти представників органів місцевого самоврядування з питань безбарʼєрності</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щокварталу звіту про результати проведених спільних заходів представників органів місцевого самоврядування з питань безбарʼєрності</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3) забезпечення підтримки обміну досвідом спільноти представників органів місцевого самоврядування з питань безбарʼєрності</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щокварталу звіту щодо обміну досвідом між спільнотами представників органів місцевого самоврядування з питань безбарʼєрності</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4) забезпечення координації діяльності спільноти представників органів місцевого самоврядування з питань безбарʼєрності</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оприлюднено графік спільних заходів спільноти представників органів місцевого самоврядування з питань безбарʼєрності</w:t>
            </w:r>
          </w:p>
        </w:tc>
      </w:tr>
      <w:tr>
        <w:trPr>
          <w:trHeight w:val="23" w:hRule="atLeast"/>
        </w:trPr>
        <w:tc>
          <w:tcPr>
            <w:tcW w:w="1800" w:type="dxa"/>
            <w:vMerge w:val="restart"/>
            <w:tcBorders/>
          </w:tcPr>
          <w:p>
            <w:pPr>
              <w:pStyle w:val="Normal"/>
              <w:keepNext w:val="true"/>
              <w:keepLines/>
              <w:widowControl w:val="false"/>
              <w:rPr>
                <w:sz w:val="22"/>
                <w:szCs w:val="22"/>
              </w:rPr>
            </w:pPr>
            <w:r>
              <w:rPr>
                <w:sz w:val="22"/>
                <w:szCs w:val="22"/>
              </w:rPr>
              <w:t>76. Розвиток взаємодії територіальних громад щодо поширення безбар’єрних практик і рішень</w:t>
            </w:r>
          </w:p>
        </w:tc>
        <w:tc>
          <w:tcPr>
            <w:tcW w:w="3240" w:type="dxa"/>
            <w:tcBorders/>
          </w:tcPr>
          <w:p>
            <w:pPr>
              <w:pStyle w:val="Normal"/>
              <w:keepNext w:val="true"/>
              <w:keepLines/>
              <w:rPr>
                <w:sz w:val="22"/>
                <w:szCs w:val="22"/>
              </w:rPr>
            </w:pPr>
            <w:r>
              <w:rPr>
                <w:sz w:val="22"/>
                <w:szCs w:val="22"/>
              </w:rPr>
              <w:t>1) забезпечення розвитку регіональної агломерації з питань розбудови безбар’єрного простору шляхом утворення координаційного регіонального комітету</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прийнято рішення про утворення координаційного регіонального комітету</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створення платформи для обміну досвідом у громадах та між громадами в рамках безбарʼєрних практик і рішень</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 xml:space="preserve">забезпечено проведення щорічного форуму обміну досвідом у громадах та між громадами в рамках безбарʼєрних практик і рішень </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3) підписання договорів про регіональне співробітництво в рамках безбарʼєрних практик і рішень</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оприлюднено інформацію про кількість підписаних договорів про регіональне співробітництво в рамках безбарʼєрних практик і рішень</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4) створення рейтингу громад, дружніх до ветеранів війни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Управління з питань ветеранської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опублікування щороку рейтингу громад, дружніх до ветеранів війни</w:t>
            </w:r>
          </w:p>
        </w:tc>
      </w:tr>
      <w:tr>
        <w:trPr>
          <w:trHeight w:val="23" w:hRule="atLeast"/>
        </w:trPr>
        <w:tc>
          <w:tcPr>
            <w:tcW w:w="1800" w:type="dxa"/>
            <w:vMerge w:val="restart"/>
            <w:tcBorders/>
          </w:tcPr>
          <w:p>
            <w:pPr>
              <w:pStyle w:val="Normal"/>
              <w:keepNext w:val="true"/>
              <w:keepLines/>
              <w:widowControl w:val="false"/>
              <w:rPr>
                <w:sz w:val="22"/>
                <w:szCs w:val="22"/>
              </w:rPr>
            </w:pPr>
            <w:r>
              <w:rPr>
                <w:sz w:val="22"/>
                <w:szCs w:val="22"/>
              </w:rPr>
              <w:t>77. Участь жителів у плануванні та розподілі коштів місцевого бюджету з урахуванням потреб маломобільних груп</w:t>
            </w:r>
          </w:p>
        </w:tc>
        <w:tc>
          <w:tcPr>
            <w:tcW w:w="3240" w:type="dxa"/>
            <w:tcBorders/>
          </w:tcPr>
          <w:p>
            <w:pPr>
              <w:pStyle w:val="Normal"/>
              <w:keepNext w:val="true"/>
              <w:keepLines/>
              <w:rPr>
                <w:sz w:val="22"/>
                <w:szCs w:val="22"/>
              </w:rPr>
            </w:pPr>
            <w:r>
              <w:rPr>
                <w:sz w:val="22"/>
                <w:szCs w:val="22"/>
              </w:rPr>
              <w:t>1) визначення потреб маломобільних груп населення</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підготовлено звіт про визначення потреб</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забезпечення щорічного врахування потреб маломобільних груп населення у бюджеті громади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оприлюднено проекти місцевих бюджетів з урахуванням потреб маломобільних груп населення</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3) проведення моніторингу використання коштів місцевих бюджетів на потреби маломобільних груп населення із залученням інститутів громадянського суспільства</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оприлюднено звіт про результати моніторингу</w:t>
            </w:r>
          </w:p>
        </w:tc>
      </w:tr>
      <w:tr>
        <w:trPr>
          <w:trHeight w:val="23" w:hRule="atLeast"/>
        </w:trPr>
        <w:tc>
          <w:tcPr>
            <w:tcW w:w="1800" w:type="dxa"/>
            <w:tcBorders/>
            <w:vAlign w:val="center"/>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4) здійснення заходів щодо соціальної згуртованості в громаді з представниками місцевих медіа (проведення навчання, роз’яснення, які терміни використовувати, як комунікувати)</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забезпечено опублікування щокварталу звіту про результати здійснених заходів</w:t>
            </w:r>
          </w:p>
        </w:tc>
      </w:tr>
      <w:tr>
        <w:trPr>
          <w:trHeight w:val="4582" w:hRule="atLeast"/>
        </w:trPr>
        <w:tc>
          <w:tcPr>
            <w:tcW w:w="1800" w:type="dxa"/>
            <w:vMerge w:val="restart"/>
            <w:tcBorders/>
          </w:tcPr>
          <w:p>
            <w:pPr>
              <w:pStyle w:val="Normal"/>
              <w:keepNext w:val="true"/>
              <w:keepLines/>
              <w:widowControl w:val="false"/>
              <w:rPr>
                <w:sz w:val="22"/>
                <w:szCs w:val="22"/>
              </w:rPr>
            </w:pPr>
            <w:r>
              <w:rPr>
                <w:sz w:val="22"/>
                <w:szCs w:val="22"/>
              </w:rPr>
              <w:t>78. Підвищення обізнаності органів державної влади та органів місцевого самоврядування, бізнес-спільнот, інститутів громадянського суспільства про потреби та інтереси маломобільних груп, механізми та інструменти громадської участі</w:t>
            </w:r>
          </w:p>
        </w:tc>
        <w:tc>
          <w:tcPr>
            <w:tcW w:w="3240" w:type="dxa"/>
            <w:tcBorders/>
          </w:tcPr>
          <w:p>
            <w:pPr>
              <w:pStyle w:val="Normal"/>
              <w:keepNext w:val="true"/>
              <w:keepLines/>
              <w:rPr>
                <w:sz w:val="22"/>
                <w:szCs w:val="22"/>
              </w:rPr>
            </w:pPr>
            <w:r>
              <w:rPr>
                <w:sz w:val="22"/>
                <w:szCs w:val="22"/>
              </w:rPr>
              <w:t>1) забезпечення навчання представників органів державної влади, органів місцевого самоврядування, публічних службовців, бізнес-спільнот, організацій громадянського суспільства  з питань соціальної інклюзії та механізмів її побудови для громад</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щокварталу звіту про результати проведеного навчання</w:t>
            </w:r>
          </w:p>
        </w:tc>
      </w:tr>
      <w:tr>
        <w:trPr>
          <w:trHeight w:val="5831"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keepNext w:val="true"/>
              <w:keepLines/>
              <w:rPr>
                <w:sz w:val="22"/>
                <w:szCs w:val="22"/>
              </w:rPr>
            </w:pPr>
            <w:r>
              <w:rPr>
                <w:sz w:val="22"/>
                <w:szCs w:val="22"/>
              </w:rPr>
              <w:t>2) запровадження програми обізнаності фізичних та юридичних осіб щодо прав осіб з інвалідністю та маломобільних груп населення (створення умов для життя осіб з інвалідністю на рівні з іншими громадянами, коректність термінології, доведення до громадян та бізнесу прав осіб з інвалідністю)</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забезпечено підготовку щокварталу звіту про здійснені заходи щодо обізнаності фізичних та юридичних осіб з питань прав осіб з інвалідністю та маломобільних груп населення (створення умов для життя осіб з інвалідністю на рівні з іншими громадянами, коректність термінології, доведення до громадян та бізнесу прав осіб з інвалідністю)</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keepNext w:val="true"/>
              <w:keepLines/>
              <w:rPr/>
            </w:pPr>
            <w:r>
              <w:rPr>
                <w:sz w:val="22"/>
                <w:szCs w:val="22"/>
              </w:rPr>
              <w:t>4) проведення зустрічі для громадськості з керівниками  Івано-Франківської облдержадміністрації та представниками відповідних структурних підрозділів облдержадміністрації для обговорення потреб осіб з інвалідністю</w:t>
            </w:r>
          </w:p>
        </w:tc>
        <w:tc>
          <w:tcPr>
            <w:tcW w:w="3540" w:type="dxa"/>
            <w:tcBorders/>
          </w:tcPr>
          <w:p>
            <w:pPr>
              <w:pStyle w:val="Normal"/>
              <w:keepNext w:val="true"/>
              <w:keepLines/>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pPr>
            <w:r>
              <w:rPr>
                <w:sz w:val="22"/>
                <w:szCs w:val="22"/>
              </w:rPr>
              <w:t>підготовлено звіт щодо проведених зустрічей для громадськості з керівниками  Івано-Франківської облдержадміністрації та представниками відповідних структурних підрозділів облдержадміністрації для обговорення потреб осіб з інвалідністю</w:t>
            </w:r>
          </w:p>
        </w:tc>
      </w:tr>
      <w:tr>
        <w:trPr>
          <w:trHeight w:val="23" w:hRule="atLeast"/>
        </w:trPr>
        <w:tc>
          <w:tcPr>
            <w:tcW w:w="15026" w:type="dxa"/>
            <w:gridSpan w:val="6"/>
            <w:tcBorders/>
          </w:tcPr>
          <w:p>
            <w:pPr>
              <w:pStyle w:val="Normal"/>
              <w:spacing w:before="120" w:after="0"/>
              <w:ind w:start="-40" w:end="-108" w:hanging="0"/>
              <w:jc w:val="center"/>
              <w:rPr>
                <w:b/>
                <w:b/>
                <w:sz w:val="22"/>
                <w:szCs w:val="22"/>
              </w:rPr>
            </w:pPr>
            <w:r>
              <w:rPr>
                <w:b/>
                <w:sz w:val="22"/>
                <w:szCs w:val="22"/>
              </w:rPr>
              <w:t>Напрям 5. Освітня безбар’єрність</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“Кожна людина має можливість розкрити свій потенціал та отримати професію завдяки інклюзивній освіті”</w:t>
            </w:r>
          </w:p>
        </w:tc>
      </w:tr>
      <w:tr>
        <w:trPr>
          <w:trHeight w:val="3599" w:hRule="atLeast"/>
        </w:trPr>
        <w:tc>
          <w:tcPr>
            <w:tcW w:w="1800" w:type="dxa"/>
            <w:tcBorders/>
          </w:tcPr>
          <w:p>
            <w:pPr>
              <w:pStyle w:val="Normal"/>
              <w:keepNext w:val="true"/>
              <w:keepLines/>
              <w:widowControl w:val="false"/>
              <w:rPr>
                <w:sz w:val="22"/>
                <w:szCs w:val="22"/>
              </w:rPr>
            </w:pPr>
            <w:r>
              <w:rPr>
                <w:sz w:val="22"/>
                <w:szCs w:val="22"/>
              </w:rPr>
              <w:t>80. Забезпечення підготовки кадрів у сфері інклюзивної освіти</w:t>
            </w:r>
          </w:p>
        </w:tc>
        <w:tc>
          <w:tcPr>
            <w:tcW w:w="3240" w:type="dxa"/>
            <w:tcBorders/>
          </w:tcPr>
          <w:p>
            <w:pPr>
              <w:pStyle w:val="Normal"/>
              <w:rPr>
                <w:sz w:val="22"/>
                <w:szCs w:val="22"/>
              </w:rPr>
            </w:pPr>
            <w:r>
              <w:rPr>
                <w:sz w:val="22"/>
                <w:szCs w:val="22"/>
              </w:rPr>
              <w:t>8) забезпечення обов’язкового проходження навчання медичними та педагогічними працівниками закладів вищої освіти з надання першої медичної допомоги здобувачам освіти з особливими освітніми потребами (зокрема з епілепсією)</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щороку довідки про кількість працівників, які пройшли навчання з надання першої медичної допомоги здобувачам освіти з особливими освітніми потребами (зокрема з епілепсією)</w:t>
            </w:r>
          </w:p>
        </w:tc>
      </w:tr>
      <w:tr>
        <w:trPr>
          <w:trHeight w:val="2652" w:hRule="atLeast"/>
        </w:trPr>
        <w:tc>
          <w:tcPr>
            <w:tcW w:w="1800" w:type="dxa"/>
            <w:vMerge w:val="restart"/>
            <w:tcBorders/>
          </w:tcPr>
          <w:p>
            <w:pPr>
              <w:pStyle w:val="Normal"/>
              <w:rPr>
                <w:sz w:val="22"/>
                <w:szCs w:val="22"/>
              </w:rPr>
            </w:pPr>
            <w:r>
              <w:rPr>
                <w:sz w:val="22"/>
                <w:szCs w:val="22"/>
              </w:rPr>
              <w:t>81. Впровадження системи інформування реалізації освітніх прав здобувачів освіти з особливими освітніми потребами</w:t>
            </w:r>
          </w:p>
        </w:tc>
        <w:tc>
          <w:tcPr>
            <w:tcW w:w="3240" w:type="dxa"/>
            <w:tcBorders/>
          </w:tcPr>
          <w:p>
            <w:pPr>
              <w:pStyle w:val="Normal"/>
              <w:rPr>
                <w:sz w:val="22"/>
                <w:szCs w:val="22"/>
              </w:rPr>
            </w:pPr>
            <w:r>
              <w:rPr>
                <w:sz w:val="22"/>
                <w:szCs w:val="22"/>
              </w:rPr>
              <w:t>3) проведення інформаційно-освітньої кампанії для зменшення стигматизації здобувачам освіти з особливими освітніми потребами у закладах вищої освіти та громаді, підвищення рівня прийняття здобувачів освіти з особливими освітніми потребами у громаді (розроблення методичних рекомендацій для громад)</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проведено інформаційно-освітню кампанію</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4) проведення медіа-заходів на державному та регіональному рівні для розповсюдження кращих практик надання освітніх послуг для здобувачів освіти з особливими освітніми потребами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проведено не менше ніж 10 медіа-заходів</w:t>
            </w:r>
          </w:p>
        </w:tc>
      </w:tr>
      <w:tr>
        <w:trPr>
          <w:trHeight w:val="23"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5) забезпечення консультаційної підтримки працівників органів виконавчої влади та органів місцевого самоврядування щодо надання якісних освітніх послуг для здобувачів освіти з особливими освітніми потребами (освітні сесії, служба підтримки, інструкції, кращі практики)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Органи місцевого самоврядування (за згодою)</w:t>
            </w:r>
          </w:p>
        </w:tc>
        <w:tc>
          <w:tcPr>
            <w:tcW w:w="2066" w:type="dxa"/>
            <w:tcBorders/>
          </w:tcPr>
          <w:p>
            <w:pPr>
              <w:pStyle w:val="Normal"/>
              <w:rPr>
                <w:sz w:val="22"/>
                <w:szCs w:val="22"/>
              </w:rPr>
            </w:pPr>
            <w:r>
              <w:rPr>
                <w:sz w:val="22"/>
                <w:szCs w:val="22"/>
              </w:rPr>
              <w:t xml:space="preserve">забезпечено підготовку щороку звіту про результати консультаційної підтримки працівників органів виконавчої влади та органів місцевого самоврядування </w:t>
            </w:r>
          </w:p>
        </w:tc>
      </w:tr>
      <w:tr>
        <w:trPr>
          <w:trHeight w:val="1626" w:hRule="atLeast"/>
        </w:trPr>
        <w:tc>
          <w:tcPr>
            <w:tcW w:w="1800" w:type="dxa"/>
            <w:vMerge w:val="continue"/>
            <w:tcBorders/>
          </w:tcPr>
          <w:p>
            <w:pPr>
              <w:pStyle w:val="Normal"/>
              <w:snapToGrid w:val="false"/>
              <w:rPr>
                <w:sz w:val="22"/>
                <w:szCs w:val="22"/>
              </w:rPr>
            </w:pPr>
            <w:r>
              <w:rPr>
                <w:sz w:val="22"/>
                <w:szCs w:val="22"/>
              </w:rPr>
            </w:r>
          </w:p>
        </w:tc>
        <w:tc>
          <w:tcPr>
            <w:tcW w:w="3240" w:type="dxa"/>
            <w:tcBorders/>
          </w:tcPr>
          <w:p>
            <w:pPr>
              <w:pStyle w:val="Normal"/>
              <w:rPr>
                <w:sz w:val="22"/>
                <w:szCs w:val="22"/>
              </w:rPr>
            </w:pPr>
            <w:r>
              <w:rPr>
                <w:sz w:val="22"/>
                <w:szCs w:val="22"/>
              </w:rPr>
              <w:t>6) запровадження  регулярних громадських обговорень з питань інклюзії з метою забезпечення зворотного зв’язку та підвищення суспільного рівня розуміння і прийняття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сформовано перелік питань проведених громадських обговорень</w:t>
            </w:r>
          </w:p>
        </w:tc>
      </w:tr>
      <w:tr>
        <w:trPr>
          <w:trHeight w:val="2701" w:hRule="atLeast"/>
        </w:trPr>
        <w:tc>
          <w:tcPr>
            <w:tcW w:w="1800" w:type="dxa"/>
            <w:tcBorders/>
          </w:tcPr>
          <w:p>
            <w:pPr>
              <w:pStyle w:val="Normal"/>
              <w:rPr>
                <w:sz w:val="22"/>
                <w:szCs w:val="22"/>
              </w:rPr>
            </w:pPr>
            <w:r>
              <w:rPr>
                <w:sz w:val="22"/>
                <w:szCs w:val="22"/>
              </w:rPr>
              <w:t>82. Забезпечення можливості здобуття дітьми з особливими освітніми потребами професійної (професійно-технічної) та/або вищої освіти</w:t>
            </w:r>
          </w:p>
        </w:tc>
        <w:tc>
          <w:tcPr>
            <w:tcW w:w="3240" w:type="dxa"/>
            <w:tcBorders/>
          </w:tcPr>
          <w:p>
            <w:pPr>
              <w:pStyle w:val="Normal"/>
              <w:rPr>
                <w:sz w:val="22"/>
                <w:szCs w:val="22"/>
              </w:rPr>
            </w:pPr>
            <w:r>
              <w:rPr>
                <w:sz w:val="22"/>
                <w:szCs w:val="22"/>
              </w:rPr>
              <w:t>3) розроблення методичних рекомендацій щодо адаптації освітньо-професійних програм закладів професійної (професійно-технічної) освіти для здобувачів освіти з особливими освітніми потребами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—червень 2025 р.</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розроблено методичні рекомендації</w:t>
            </w:r>
          </w:p>
        </w:tc>
      </w:tr>
      <w:tr>
        <w:trPr>
          <w:trHeight w:val="23" w:hRule="atLeast"/>
        </w:trPr>
        <w:tc>
          <w:tcPr>
            <w:tcW w:w="1800" w:type="dxa"/>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6) створення регіональної мережі демонстраційних центрів професій для здобувачів освіти з особливими освітніми потребами, які можуть ознайомлюватись з різними професіями, здійснювати їх первинну апробацію та обирати для подальшого засвоєння і опанування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2026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опубліковано інформацію про перелік демонстраційних центрів професій для здобувачів освіти з особливими освітніми потребами</w:t>
            </w:r>
          </w:p>
        </w:tc>
      </w:tr>
      <w:tr>
        <w:trPr>
          <w:trHeight w:val="23" w:hRule="atLeast"/>
        </w:trPr>
        <w:tc>
          <w:tcPr>
            <w:tcW w:w="1800" w:type="dxa"/>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7) проведення аналізу щодо отримання освіти та недискримінації дітей (зокрема неблагополучних) трудових мігрантів та вжиття заходів з метою подолання проблемних питань за результатами аналізу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щороку звіту про проведення аналізу та вжиті заходи</w:t>
            </w:r>
          </w:p>
        </w:tc>
      </w:tr>
      <w:tr>
        <w:trPr>
          <w:trHeight w:val="23" w:hRule="atLeast"/>
        </w:trPr>
        <w:tc>
          <w:tcPr>
            <w:tcW w:w="1800" w:type="dxa"/>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8) створення умов у мережі центрів професійної (професійно-технічної) освіти для навчання учнів з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реалізацію проекту із створення мережі центрів професійної (професійно-технічної) освіти</w:t>
            </w:r>
          </w:p>
        </w:tc>
      </w:tr>
      <w:tr>
        <w:trPr>
          <w:trHeight w:val="23" w:hRule="atLeast"/>
        </w:trPr>
        <w:tc>
          <w:tcPr>
            <w:tcW w:w="1800" w:type="dxa"/>
            <w:tcBorders/>
          </w:tcPr>
          <w:p>
            <w:pPr>
              <w:pStyle w:val="Normal"/>
              <w:rPr>
                <w:sz w:val="22"/>
                <w:szCs w:val="22"/>
              </w:rPr>
            </w:pPr>
            <w:r>
              <w:rPr>
                <w:sz w:val="22"/>
                <w:szCs w:val="22"/>
              </w:rPr>
              <w:t>83. Забезпечення розвитку екосистеми підтримки інклюзивного навчання на всіх рівнях</w:t>
            </w:r>
          </w:p>
        </w:tc>
        <w:tc>
          <w:tcPr>
            <w:tcW w:w="3240" w:type="dxa"/>
            <w:tcBorders/>
          </w:tcPr>
          <w:p>
            <w:pPr>
              <w:pStyle w:val="Normal"/>
              <w:rPr>
                <w:sz w:val="22"/>
                <w:szCs w:val="22"/>
              </w:rPr>
            </w:pPr>
            <w:r>
              <w:rPr>
                <w:sz w:val="22"/>
                <w:szCs w:val="22"/>
              </w:rPr>
              <w:t>1) сприяння формуванню мережі інклюзивно-ресурсних центрів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 xml:space="preserve">забезпечено підготовку щороку звіту про результати роботи інклюзивно-ресурсних центрів </w:t>
            </w:r>
          </w:p>
        </w:tc>
      </w:tr>
      <w:tr>
        <w:trPr>
          <w:trHeight w:val="23" w:hRule="atLeast"/>
        </w:trPr>
        <w:tc>
          <w:tcPr>
            <w:tcW w:w="1800" w:type="dxa"/>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8) забезпечення координації з проектами міжнародно-технічної допомоги щодо здійснення заходів з освітньої безбарʼєрності в рамках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щопівроку звіту про результати співпраці з партнерами з розвитку та проектами міжнародної технічної допомоги щодо здійснення зазначених заходів</w:t>
            </w:r>
          </w:p>
        </w:tc>
      </w:tr>
      <w:tr>
        <w:trPr>
          <w:trHeight w:val="23" w:hRule="atLeast"/>
        </w:trPr>
        <w:tc>
          <w:tcPr>
            <w:tcW w:w="1800" w:type="dxa"/>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9) опрацювання питання щодо розроблення програми забезпечення айтрекерами або інфрачервоними камерами із необхідним програмним забезпеченням здобувачів загальної середньої та вищої освіти з порушеннями зору</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квітень — вересень 2025 р.</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соціальної політики Івано-Франківської облдержадміністрації</w:t>
            </w:r>
          </w:p>
        </w:tc>
        <w:tc>
          <w:tcPr>
            <w:tcW w:w="2066" w:type="dxa"/>
            <w:tcBorders/>
          </w:tcPr>
          <w:p>
            <w:pPr>
              <w:pStyle w:val="Normal"/>
              <w:rPr>
                <w:sz w:val="22"/>
                <w:szCs w:val="22"/>
              </w:rPr>
            </w:pPr>
            <w:r>
              <w:rPr>
                <w:sz w:val="22"/>
                <w:szCs w:val="22"/>
              </w:rPr>
              <w:t>затверджено рекомендації щодо програми забезпечення айтрекерами або інфрачервоними камерами із необхідним програмним забезпеченням здобувачів загальної середньої та вищої освіти з порушеннями зору</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“Освітні потреби дорослих забезпечені протягом усього життя”</w:t>
            </w:r>
          </w:p>
        </w:tc>
      </w:tr>
      <w:tr>
        <w:trPr>
          <w:trHeight w:val="3528" w:hRule="atLeast"/>
        </w:trPr>
        <w:tc>
          <w:tcPr>
            <w:tcW w:w="1800" w:type="dxa"/>
            <w:tcBorders/>
          </w:tcPr>
          <w:p>
            <w:pPr>
              <w:pStyle w:val="Normal"/>
              <w:widowControl w:val="false"/>
              <w:rPr>
                <w:sz w:val="22"/>
                <w:szCs w:val="22"/>
              </w:rPr>
            </w:pPr>
            <w:r>
              <w:rPr>
                <w:sz w:val="22"/>
                <w:szCs w:val="22"/>
              </w:rPr>
              <w:t>88. Забезпечення підготовки кадрів відповідно до переліку професій, необхідних для розбудови безбарʼєрного простору</w:t>
            </w:r>
          </w:p>
        </w:tc>
        <w:tc>
          <w:tcPr>
            <w:tcW w:w="3240" w:type="dxa"/>
            <w:tcBorders/>
          </w:tcPr>
          <w:p>
            <w:pPr>
              <w:pStyle w:val="Normal"/>
              <w:rPr>
                <w:sz w:val="22"/>
                <w:szCs w:val="22"/>
              </w:rPr>
            </w:pPr>
            <w:r>
              <w:rPr>
                <w:sz w:val="22"/>
                <w:szCs w:val="22"/>
              </w:rPr>
              <w:t>4) проведення навчання працівників закладів дошкільної та шкільної освіти основам цифрової грамотності</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Івано-Франківський регіональний центр підвищення кваліфікації</w:t>
            </w:r>
          </w:p>
        </w:tc>
        <w:tc>
          <w:tcPr>
            <w:tcW w:w="2066" w:type="dxa"/>
            <w:tcBorders/>
          </w:tcPr>
          <w:p>
            <w:pPr>
              <w:pStyle w:val="Normal"/>
              <w:rPr>
                <w:sz w:val="22"/>
                <w:szCs w:val="22"/>
              </w:rPr>
            </w:pPr>
            <w:r>
              <w:rPr>
                <w:sz w:val="22"/>
                <w:szCs w:val="22"/>
              </w:rPr>
              <w:t>затверджено програму навчання основам цифрової грамотності</w:t>
            </w:r>
          </w:p>
          <w:p>
            <w:pPr>
              <w:pStyle w:val="Normal"/>
              <w:rPr>
                <w:sz w:val="22"/>
                <w:szCs w:val="22"/>
              </w:rPr>
            </w:pPr>
            <w:r>
              <w:rPr>
                <w:sz w:val="22"/>
                <w:szCs w:val="22"/>
              </w:rPr>
              <w:t>підготовлено звіт про проходження навчання основам цифрової грамотності працівниками закладів дошкільної та шкільної освіти</w:t>
            </w:r>
          </w:p>
        </w:tc>
      </w:tr>
      <w:tr>
        <w:trPr>
          <w:trHeight w:val="23" w:hRule="atLeast"/>
        </w:trPr>
        <w:tc>
          <w:tcPr>
            <w:tcW w:w="1800" w:type="dxa"/>
            <w:tcBorders/>
          </w:tcPr>
          <w:p>
            <w:pPr>
              <w:pStyle w:val="Normal"/>
              <w:rPr>
                <w:sz w:val="22"/>
                <w:szCs w:val="22"/>
              </w:rPr>
            </w:pPr>
            <w:r>
              <w:rPr>
                <w:sz w:val="22"/>
                <w:szCs w:val="22"/>
              </w:rPr>
              <w:t>89. Забезпечення інфраструктурної доступності закладів вищої, професійної (професійно-технічної), фахової передвищої освіти</w:t>
            </w:r>
          </w:p>
        </w:tc>
        <w:tc>
          <w:tcPr>
            <w:tcW w:w="3240" w:type="dxa"/>
            <w:tcBorders/>
          </w:tcPr>
          <w:p>
            <w:pPr>
              <w:pStyle w:val="Normal"/>
              <w:rPr>
                <w:sz w:val="22"/>
                <w:szCs w:val="22"/>
              </w:rPr>
            </w:pPr>
            <w:r>
              <w:rPr>
                <w:sz w:val="22"/>
                <w:szCs w:val="22"/>
              </w:rPr>
              <w:t>1) визначення переліку додаткових послуг у закладі освіти для здобувачів освіти з особливими освітніми потребами, зокрема осіб з інвалідністю</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січень — вересень 2025 р.</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визначено перелік додаткових послуг для здобувачів освіти з особливими освітніми потребами, зокрема осіб з інвалідністю</w:t>
            </w:r>
          </w:p>
        </w:tc>
      </w:tr>
      <w:tr>
        <w:trPr>
          <w:trHeight w:val="23" w:hRule="atLeast"/>
        </w:trPr>
        <w:tc>
          <w:tcPr>
            <w:tcW w:w="1800" w:type="dxa"/>
            <w:tcBorders/>
          </w:tcPr>
          <w:p>
            <w:pPr>
              <w:pStyle w:val="Normal"/>
              <w:snapToGrid w:val="false"/>
              <w:jc w:val="both"/>
              <w:rPr>
                <w:sz w:val="22"/>
                <w:szCs w:val="22"/>
              </w:rPr>
            </w:pPr>
            <w:r>
              <w:rPr>
                <w:sz w:val="22"/>
                <w:szCs w:val="22"/>
              </w:rPr>
            </w:r>
          </w:p>
        </w:tc>
        <w:tc>
          <w:tcPr>
            <w:tcW w:w="3240" w:type="dxa"/>
            <w:tcBorders/>
          </w:tcPr>
          <w:p>
            <w:pPr>
              <w:pStyle w:val="Normal"/>
              <w:rPr>
                <w:sz w:val="22"/>
                <w:szCs w:val="22"/>
              </w:rPr>
            </w:pPr>
            <w:r>
              <w:rPr>
                <w:sz w:val="22"/>
                <w:szCs w:val="22"/>
              </w:rPr>
              <w:t>2) проведення моніторингу та оцінки доступності (архітектурної, інформаційної, цифрової) державних і приватних закладів вищої, професійної (професійно-технічної), фахової передвищої освіти для здобувачів освіти з особливими освітніми потребами, осіб з інвалідністю та інших маломобільних груп населення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результати щорічного моніторингу та оцінки доступності закладів вищої, професійної (професійно-технічної), фахової передвищої освіти</w:t>
            </w:r>
          </w:p>
        </w:tc>
      </w:tr>
      <w:tr>
        <w:trPr>
          <w:trHeight w:val="2098"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4) забезпечення проведення щорічної оцінки впровадження програм щодо забезпечення безбарʼєрної інфраструктури закладів вищої, професійної (професійно-технічної), фахової передвищої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результати щорічної оцінки впровадження програм щодо забезпечення безбарʼєрної інфраструктури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5) утворення фондів доступності в закладах вищої, професійної (професійно-технічної), фахової передвищої освіти</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 xml:space="preserve">січень — червень </w:t>
              <w:br/>
              <w:t>2025 р.</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затверджено положення про утворення фондів доступності в закладах вищої, професійної (професійно-технічної), фахової передвищої освіти</w:t>
            </w:r>
          </w:p>
        </w:tc>
      </w:tr>
      <w:tr>
        <w:trPr>
          <w:trHeight w:val="23" w:hRule="atLeast"/>
        </w:trPr>
        <w:tc>
          <w:tcPr>
            <w:tcW w:w="1800" w:type="dxa"/>
            <w:tcBorders/>
          </w:tcPr>
          <w:p>
            <w:pPr>
              <w:pStyle w:val="Normal"/>
              <w:widowControl w:val="false"/>
              <w:rPr>
                <w:sz w:val="22"/>
                <w:szCs w:val="22"/>
              </w:rPr>
            </w:pPr>
            <w:r>
              <w:rPr>
                <w:sz w:val="22"/>
                <w:szCs w:val="22"/>
              </w:rPr>
              <w:t>90. Забезпечення проведення постійного моніторингу і адаптації можливостей освіти для дорослих протягом життя</w:t>
            </w:r>
          </w:p>
        </w:tc>
        <w:tc>
          <w:tcPr>
            <w:tcW w:w="3240" w:type="dxa"/>
            <w:tcBorders/>
          </w:tcPr>
          <w:p>
            <w:pPr>
              <w:pStyle w:val="Normal"/>
              <w:rPr>
                <w:sz w:val="22"/>
                <w:szCs w:val="22"/>
              </w:rPr>
            </w:pPr>
            <w:r>
              <w:rPr>
                <w:sz w:val="22"/>
                <w:szCs w:val="22"/>
              </w:rPr>
              <w:t>1) здійснення обміну міжнародним досвідом в галузі освіти дорослих протягом життя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результати обміну міжнародним досвідом в галузі освіти дорослих протягом життя</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2) здійснення заходів щодо освітнього дозвілля здобувачів освіти з особливими освітніми потребами (зокрема осіб з інвалідністю та осіб з різними обмеженнями повсякденного функціонування)</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опубліковано інформацію про здійснені заходи</w:t>
            </w:r>
          </w:p>
        </w:tc>
      </w:tr>
      <w:tr>
        <w:trPr>
          <w:trHeight w:val="23" w:hRule="atLeast"/>
        </w:trPr>
        <w:tc>
          <w:tcPr>
            <w:tcW w:w="1800" w:type="dxa"/>
            <w:tcBorders/>
          </w:tcPr>
          <w:p>
            <w:pPr>
              <w:pStyle w:val="Normal"/>
              <w:widowControl w:val="false"/>
              <w:snapToGrid w:val="false"/>
              <w:rPr>
                <w:sz w:val="22"/>
                <w:szCs w:val="22"/>
              </w:rPr>
            </w:pPr>
            <w:r>
              <w:rPr>
                <w:sz w:val="22"/>
                <w:szCs w:val="22"/>
              </w:rPr>
            </w:r>
          </w:p>
        </w:tc>
        <w:tc>
          <w:tcPr>
            <w:tcW w:w="3240" w:type="dxa"/>
            <w:tcBorders/>
          </w:tcPr>
          <w:p>
            <w:pPr>
              <w:pStyle w:val="Normal"/>
              <w:rPr>
                <w:sz w:val="22"/>
                <w:szCs w:val="22"/>
              </w:rPr>
            </w:pPr>
            <w:r>
              <w:rPr>
                <w:sz w:val="22"/>
                <w:szCs w:val="22"/>
              </w:rPr>
              <w:t>3) забезпечення освітнього розвитку і вдосконалення освіти дорослих, які перебувають в лікувально-реабілітаційних закладах постійного утримання, установах виконання покарань, військових частинах, монастирях, гірських і морських умовах праці і життя тощо</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w:t>
              <w:br/>
              <w:t>2026 роки</w:t>
            </w:r>
          </w:p>
        </w:tc>
        <w:tc>
          <w:tcPr>
            <w:tcW w:w="2340" w:type="dxa"/>
            <w:tcBorders/>
          </w:tcPr>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22"/>
                <w:szCs w:val="22"/>
              </w:rPr>
            </w:pPr>
            <w:r>
              <w:rPr>
                <w:sz w:val="22"/>
                <w:szCs w:val="22"/>
              </w:rPr>
            </w:r>
          </w:p>
          <w:p>
            <w:pPr>
              <w:pStyle w:val="Normal"/>
              <w:rPr>
                <w:sz w:val="22"/>
                <w:szCs w:val="22"/>
              </w:rPr>
            </w:pPr>
            <w:r>
              <w:rPr>
                <w:sz w:val="22"/>
                <w:szCs w:val="22"/>
              </w:rPr>
              <w:t>Департамент охорони здоров’я 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підготовлено звіт про забезпечення освітнього розвитку і вдосконалення освіти дорослих, які перебувають в лікувально-реабілітаційних закладах постійного утримання, установах виконання покарань, військових частинах, монастирях, гірських і морських умовах праці і життя тощо</w:t>
            </w:r>
          </w:p>
        </w:tc>
      </w:tr>
      <w:tr>
        <w:trPr>
          <w:trHeight w:val="23" w:hRule="atLeast"/>
        </w:trPr>
        <w:tc>
          <w:tcPr>
            <w:tcW w:w="15026" w:type="dxa"/>
            <w:gridSpan w:val="6"/>
            <w:tcBorders/>
          </w:tcPr>
          <w:p>
            <w:pPr>
              <w:pStyle w:val="Normal"/>
              <w:spacing w:before="120" w:after="0"/>
              <w:ind w:start="-40" w:end="-108" w:hanging="0"/>
              <w:jc w:val="center"/>
              <w:rPr>
                <w:b/>
                <w:b/>
                <w:sz w:val="22"/>
                <w:szCs w:val="22"/>
              </w:rPr>
            </w:pPr>
            <w:r>
              <w:rPr>
                <w:b/>
                <w:sz w:val="22"/>
                <w:szCs w:val="22"/>
              </w:rPr>
              <w:t>Напрям 6. Економічна безбар’єрність</w:t>
            </w:r>
          </w:p>
        </w:tc>
      </w:tr>
      <w:tr>
        <w:trPr>
          <w:trHeight w:val="23" w:hRule="atLeast"/>
        </w:trPr>
        <w:tc>
          <w:tcPr>
            <w:tcW w:w="15026" w:type="dxa"/>
            <w:gridSpan w:val="6"/>
            <w:tcBorders/>
          </w:tcPr>
          <w:p>
            <w:pPr>
              <w:pStyle w:val="Normal"/>
              <w:spacing w:before="120" w:after="0"/>
              <w:ind w:start="-40" w:end="-108" w:hanging="0"/>
              <w:jc w:val="center"/>
              <w:rPr>
                <w:sz w:val="22"/>
                <w:szCs w:val="22"/>
              </w:rPr>
            </w:pPr>
            <w:r>
              <w:rPr>
                <w:sz w:val="22"/>
                <w:szCs w:val="22"/>
              </w:rPr>
              <w:t>Стратегічна ціль “Кожній людині доступне провадження підприємницької діяльності та забезпечення самозайнятості”</w:t>
            </w:r>
          </w:p>
        </w:tc>
      </w:tr>
      <w:tr>
        <w:trPr>
          <w:trHeight w:val="3600" w:hRule="atLeast"/>
        </w:trPr>
        <w:tc>
          <w:tcPr>
            <w:tcW w:w="1800" w:type="dxa"/>
            <w:tcBorders/>
          </w:tcPr>
          <w:p>
            <w:pPr>
              <w:pStyle w:val="Normal"/>
              <w:widowControl w:val="false"/>
              <w:rPr>
                <w:sz w:val="22"/>
                <w:szCs w:val="22"/>
              </w:rPr>
            </w:pPr>
            <w:r>
              <w:rPr>
                <w:sz w:val="22"/>
                <w:szCs w:val="22"/>
              </w:rPr>
              <w:t>102. Забезпечення доступу до фінансів суспільних груп, що потребують здійснення додаткових заходів із забезпечення інклюзії шляхом створення програм підтримки</w:t>
            </w:r>
          </w:p>
        </w:tc>
        <w:tc>
          <w:tcPr>
            <w:tcW w:w="3240" w:type="dxa"/>
            <w:tcBorders/>
          </w:tcPr>
          <w:p>
            <w:pPr>
              <w:pStyle w:val="Normal"/>
              <w:rPr>
                <w:sz w:val="22"/>
                <w:szCs w:val="22"/>
              </w:rPr>
            </w:pPr>
            <w:r>
              <w:rPr>
                <w:sz w:val="22"/>
                <w:szCs w:val="22"/>
              </w:rPr>
              <w:t>6) забезпечення координації з проектами міжнародно-технічної допомоги щодо здійснення заходів з питань економічної безбарʼєрності в рамках цього плану заходів</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Департамент економічного розвитку, промисловості та інфраструктури </w:t>
            </w:r>
            <w:r>
              <w:rPr>
                <w:sz w:val="22"/>
                <w:szCs w:val="22"/>
              </w:rPr>
              <w:t>Івано-Франківської облдержадміністрації</w:t>
            </w:r>
          </w:p>
          <w:p>
            <w:pPr>
              <w:pStyle w:val="Normal"/>
              <w:rPr>
                <w:sz w:val="22"/>
                <w:szCs w:val="22"/>
              </w:rPr>
            </w:pPr>
            <w:r>
              <w:rPr>
                <w:sz w:val="22"/>
                <w:szCs w:val="22"/>
              </w:rPr>
            </w:r>
          </w:p>
        </w:tc>
        <w:tc>
          <w:tcPr>
            <w:tcW w:w="2066" w:type="dxa"/>
            <w:tcBorders/>
          </w:tcPr>
          <w:p>
            <w:pPr>
              <w:pStyle w:val="Normal"/>
              <w:rPr>
                <w:sz w:val="22"/>
                <w:szCs w:val="22"/>
              </w:rPr>
            </w:pPr>
            <w:r>
              <w:rPr>
                <w:sz w:val="22"/>
                <w:szCs w:val="22"/>
              </w:rPr>
              <w:t>забезпечено підготовку щопівроку звіту про результати співпраці з проектами міжнародної технічної допомоги щодо здійснення визначених заходів</w:t>
            </w:r>
          </w:p>
        </w:tc>
      </w:tr>
      <w:tr>
        <w:trPr>
          <w:trHeight w:val="23" w:hRule="atLeast"/>
        </w:trPr>
        <w:tc>
          <w:tcPr>
            <w:tcW w:w="15026" w:type="dxa"/>
            <w:gridSpan w:val="6"/>
            <w:tcBorders/>
          </w:tcPr>
          <w:p>
            <w:pPr>
              <w:pStyle w:val="Normal"/>
              <w:spacing w:before="120" w:after="0"/>
              <w:ind w:start="-40" w:end="-108" w:hanging="0"/>
              <w:jc w:val="center"/>
              <w:rPr>
                <w:sz w:val="22"/>
                <w:szCs w:val="22"/>
                <w:highlight w:val="white"/>
              </w:rPr>
            </w:pPr>
            <w:r>
              <w:rPr>
                <w:sz w:val="22"/>
                <w:szCs w:val="22"/>
              </w:rPr>
              <w:t xml:space="preserve">Стратегічна ціль “Кожна людина незалежно від віку, статі, сімейного стану чи стану здоров’я має доступ до </w:t>
              <w:br/>
              <w:t>працевлаштування та можливості для роботи”</w:t>
            </w:r>
          </w:p>
        </w:tc>
      </w:tr>
      <w:tr>
        <w:trPr>
          <w:trHeight w:val="1168" w:hRule="atLeast"/>
        </w:trPr>
        <w:tc>
          <w:tcPr>
            <w:tcW w:w="1800" w:type="dxa"/>
            <w:vMerge w:val="restart"/>
            <w:tcBorders/>
          </w:tcPr>
          <w:p>
            <w:pPr>
              <w:pStyle w:val="Normal"/>
              <w:rPr>
                <w:sz w:val="22"/>
                <w:szCs w:val="22"/>
              </w:rPr>
            </w:pPr>
            <w:r>
              <w:rPr>
                <w:sz w:val="22"/>
                <w:szCs w:val="22"/>
              </w:rPr>
              <w:t>106. Розроблення та впровадження програми з підтримки працевлаштування для жінок, молоді, осіб старшого віку та ветеранів війни</w:t>
            </w:r>
          </w:p>
        </w:tc>
        <w:tc>
          <w:tcPr>
            <w:tcW w:w="3240" w:type="dxa"/>
            <w:tcBorders/>
          </w:tcPr>
          <w:p>
            <w:pPr>
              <w:pStyle w:val="Normal"/>
              <w:rPr>
                <w:strike/>
                <w:sz w:val="22"/>
                <w:szCs w:val="22"/>
              </w:rPr>
            </w:pPr>
            <w:r>
              <w:rPr>
                <w:sz w:val="22"/>
                <w:szCs w:val="22"/>
              </w:rPr>
              <w:t>2) відкриття  та облаштування дитячих кімнат у будівлях органів державної влади та органів місцевого самоврядування</w:t>
            </w:r>
          </w:p>
        </w:tc>
        <w:tc>
          <w:tcPr>
            <w:tcW w:w="3540" w:type="dxa"/>
            <w:tcBorders/>
          </w:tcPr>
          <w:p>
            <w:pPr>
              <w:pStyle w:val="Normal"/>
              <w:snapToGrid w:val="false"/>
              <w:rPr>
                <w:strike/>
                <w:sz w:val="22"/>
                <w:szCs w:val="22"/>
              </w:rPr>
            </w:pPr>
            <w:r>
              <w:rPr>
                <w:strike/>
                <w:sz w:val="22"/>
                <w:szCs w:val="22"/>
              </w:rPr>
            </w:r>
          </w:p>
        </w:tc>
        <w:tc>
          <w:tcPr>
            <w:tcW w:w="2040" w:type="dxa"/>
            <w:tcBorders/>
          </w:tcPr>
          <w:p>
            <w:pPr>
              <w:pStyle w:val="Normal"/>
              <w:rPr>
                <w:strike/>
                <w:sz w:val="22"/>
                <w:szCs w:val="22"/>
              </w:rPr>
            </w:pPr>
            <w:r>
              <w:rPr>
                <w:sz w:val="22"/>
                <w:szCs w:val="22"/>
              </w:rPr>
              <w:t>2025 рік</w:t>
            </w:r>
          </w:p>
        </w:tc>
        <w:tc>
          <w:tcPr>
            <w:tcW w:w="2340" w:type="dxa"/>
            <w:tcBorders/>
          </w:tcPr>
          <w:p>
            <w:pPr>
              <w:pStyle w:val="Normal"/>
              <w:rPr>
                <w:sz w:val="22"/>
                <w:szCs w:val="22"/>
              </w:rPr>
            </w:pPr>
            <w:r>
              <w:rPr>
                <w:sz w:val="22"/>
                <w:szCs w:val="22"/>
                <w:shd w:fill="FFFFFF" w:val="clear"/>
              </w:rPr>
              <w:t xml:space="preserve">Департамент економічного розвитку, промисловості та інфраструктури </w:t>
            </w:r>
            <w:r>
              <w:rPr>
                <w:sz w:val="22"/>
                <w:szCs w:val="22"/>
              </w:rPr>
              <w:t>Івано-Франківської облдержадміністрації</w:t>
            </w:r>
          </w:p>
          <w:p>
            <w:pPr>
              <w:pStyle w:val="Normal"/>
              <w:rPr>
                <w:strike/>
                <w:sz w:val="8"/>
                <w:szCs w:val="8"/>
              </w:rPr>
            </w:pPr>
            <w:r>
              <w:rPr>
                <w:strike/>
                <w:sz w:val="8"/>
                <w:szCs w:val="8"/>
              </w:rPr>
            </w:r>
          </w:p>
          <w:p>
            <w:pPr>
              <w:pStyle w:val="Normal"/>
              <w:rPr>
                <w:sz w:val="22"/>
                <w:szCs w:val="22"/>
              </w:rPr>
            </w:pPr>
            <w:r>
              <w:rPr>
                <w:sz w:val="22"/>
                <w:szCs w:val="22"/>
              </w:rPr>
              <w:t>Департамент розвитку громад та територій, дорожнього, житлово-комунального господарства, містобудування та архітектури Івано-Франківської облдержадміністрації</w:t>
            </w:r>
          </w:p>
          <w:p>
            <w:pPr>
              <w:pStyle w:val="Normal"/>
              <w:rPr>
                <w:sz w:val="8"/>
                <w:szCs w:val="8"/>
              </w:rPr>
            </w:pPr>
            <w:r>
              <w:rPr>
                <w:sz w:val="8"/>
                <w:szCs w:val="8"/>
              </w:rPr>
            </w:r>
          </w:p>
          <w:p>
            <w:pPr>
              <w:pStyle w:val="Normal"/>
              <w:rPr>
                <w:strike/>
                <w:sz w:val="22"/>
                <w:szCs w:val="22"/>
              </w:rPr>
            </w:pPr>
            <w:r>
              <w:rPr>
                <w:sz w:val="22"/>
                <w:szCs w:val="22"/>
              </w:rPr>
              <w:t>Органи місцевого самоврядування (за згодою)</w:t>
            </w:r>
          </w:p>
        </w:tc>
        <w:tc>
          <w:tcPr>
            <w:tcW w:w="2066" w:type="dxa"/>
            <w:tcBorders/>
          </w:tcPr>
          <w:p>
            <w:pPr>
              <w:pStyle w:val="Normal"/>
              <w:rPr>
                <w:strike/>
                <w:sz w:val="22"/>
                <w:szCs w:val="22"/>
                <w:highlight w:val="white"/>
              </w:rPr>
            </w:pPr>
            <w:r>
              <w:rPr>
                <w:sz w:val="22"/>
                <w:szCs w:val="22"/>
              </w:rPr>
              <w:t>забезпечено здійснення звіту про облаштування дитячих кімнат (з фотографіями)</w:t>
            </w:r>
          </w:p>
        </w:tc>
      </w:tr>
      <w:tr>
        <w:trPr>
          <w:trHeight w:val="450" w:hRule="atLeast"/>
        </w:trPr>
        <w:tc>
          <w:tcPr>
            <w:tcW w:w="1800" w:type="dxa"/>
            <w:vMerge w:val="continue"/>
            <w:tcBorders/>
          </w:tcPr>
          <w:p>
            <w:pPr>
              <w:pStyle w:val="Normal"/>
              <w:snapToGrid w:val="false"/>
              <w:rPr>
                <w:strike/>
                <w:sz w:val="22"/>
                <w:szCs w:val="22"/>
                <w:highlight w:val="white"/>
              </w:rPr>
            </w:pPr>
            <w:r>
              <w:rPr>
                <w:strike/>
                <w:sz w:val="22"/>
                <w:szCs w:val="22"/>
                <w:shd w:fill="F8F8F8" w:val="clear"/>
              </w:rPr>
            </w:r>
          </w:p>
        </w:tc>
        <w:tc>
          <w:tcPr>
            <w:tcW w:w="3240" w:type="dxa"/>
            <w:tcBorders/>
          </w:tcPr>
          <w:p>
            <w:pPr>
              <w:pStyle w:val="Normal"/>
              <w:rPr>
                <w:sz w:val="22"/>
                <w:szCs w:val="22"/>
              </w:rPr>
            </w:pPr>
            <w:r>
              <w:rPr>
                <w:sz w:val="22"/>
                <w:szCs w:val="22"/>
              </w:rPr>
              <w:t>4) здійснення заходів, спрямованих на покращення навичок молоді, необхідних для пошуку роботи та успішного працевлаштування та соціального підприємництва</w:t>
            </w:r>
          </w:p>
        </w:tc>
        <w:tc>
          <w:tcPr>
            <w:tcW w:w="3540" w:type="dxa"/>
            <w:tcBorders/>
          </w:tcPr>
          <w:p>
            <w:pPr>
              <w:pStyle w:val="Normal"/>
              <w:snapToGrid w:val="false"/>
              <w:rPr>
                <w:sz w:val="22"/>
                <w:szCs w:val="22"/>
              </w:rPr>
            </w:pPr>
            <w:r>
              <w:rPr>
                <w:sz w:val="22"/>
                <w:szCs w:val="22"/>
              </w:rPr>
            </w:r>
          </w:p>
        </w:tc>
        <w:tc>
          <w:tcPr>
            <w:tcW w:w="2040" w:type="dxa"/>
            <w:tcBorders/>
          </w:tcPr>
          <w:p>
            <w:pPr>
              <w:pStyle w:val="Normal"/>
              <w:rPr>
                <w:sz w:val="22"/>
                <w:szCs w:val="22"/>
              </w:rPr>
            </w:pPr>
            <w:r>
              <w:rPr>
                <w:sz w:val="22"/>
                <w:szCs w:val="22"/>
              </w:rPr>
              <w:t>2025 рік</w:t>
            </w:r>
          </w:p>
        </w:tc>
        <w:tc>
          <w:tcPr>
            <w:tcW w:w="2340" w:type="dxa"/>
            <w:tcBorders/>
          </w:tcPr>
          <w:p>
            <w:pPr>
              <w:pStyle w:val="Normal"/>
              <w:rPr>
                <w:sz w:val="22"/>
                <w:szCs w:val="22"/>
              </w:rPr>
            </w:pPr>
            <w:r>
              <w:rPr>
                <w:sz w:val="22"/>
                <w:szCs w:val="22"/>
              </w:rPr>
              <w:t>Департамент соціальної політики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Департамент освіти і науки Івано-Франківської облдержадміністрації</w:t>
            </w:r>
          </w:p>
          <w:p>
            <w:pPr>
              <w:pStyle w:val="Normal"/>
              <w:rPr>
                <w:sz w:val="8"/>
                <w:szCs w:val="8"/>
              </w:rPr>
            </w:pPr>
            <w:r>
              <w:rPr>
                <w:sz w:val="8"/>
                <w:szCs w:val="8"/>
              </w:rPr>
            </w:r>
          </w:p>
          <w:p>
            <w:pPr>
              <w:pStyle w:val="Normal"/>
              <w:rPr>
                <w:sz w:val="22"/>
                <w:szCs w:val="22"/>
              </w:rPr>
            </w:pPr>
            <w:r>
              <w:rPr>
                <w:sz w:val="22"/>
                <w:szCs w:val="22"/>
              </w:rPr>
              <w:t>Управління спорту та молодіжної політики Франківської облдержадміністрації</w:t>
            </w:r>
          </w:p>
          <w:p>
            <w:pPr>
              <w:pStyle w:val="Normal"/>
              <w:rPr>
                <w:sz w:val="8"/>
                <w:szCs w:val="8"/>
              </w:rPr>
            </w:pPr>
            <w:r>
              <w:rPr>
                <w:sz w:val="8"/>
                <w:szCs w:val="8"/>
              </w:rPr>
            </w:r>
          </w:p>
          <w:p>
            <w:pPr>
              <w:pStyle w:val="Heading2"/>
              <w:shd w:fill="FBFBFB" w:val="clear"/>
              <w:spacing w:lineRule="auto" w:line="240" w:before="0" w:after="0"/>
              <w:rPr>
                <w:rFonts w:ascii="Times New Roman" w:hAnsi="Times New Roman" w:cs="Times New Roman"/>
                <w:b w:val="false"/>
                <w:b w:val="false"/>
                <w:color w:val="333333"/>
                <w:sz w:val="22"/>
                <w:szCs w:val="22"/>
              </w:rPr>
            </w:pPr>
            <w:hyperlink r:id="rId2">
              <w:r>
                <w:rPr>
                  <w:rStyle w:val="InternetLink"/>
                  <w:rFonts w:cs="Times New Roman" w:ascii="Times New Roman" w:hAnsi="Times New Roman"/>
                  <w:b/>
                  <w:color w:val="000000"/>
                  <w:sz w:val="22"/>
                  <w:szCs w:val="22"/>
                  <w:u w:val="none"/>
                </w:rPr>
                <w:t>Івано-Франківський обласний центр зайнятості</w:t>
              </w:r>
            </w:hyperlink>
          </w:p>
        </w:tc>
        <w:tc>
          <w:tcPr>
            <w:tcW w:w="2066" w:type="dxa"/>
            <w:tcBorders/>
          </w:tcPr>
          <w:p>
            <w:pPr>
              <w:pStyle w:val="Normal"/>
              <w:rPr>
                <w:sz w:val="22"/>
                <w:szCs w:val="22"/>
              </w:rPr>
            </w:pPr>
            <w:r>
              <w:rPr>
                <w:sz w:val="22"/>
                <w:szCs w:val="22"/>
              </w:rPr>
              <w:t xml:space="preserve">забезпечено підготовку щороку звіту про результати здійснення заходів з публікацією  інформації про заходи на офіційному веб-сайті </w:t>
            </w:r>
            <w:hyperlink r:id="rId3">
              <w:r>
                <w:rPr>
                  <w:rStyle w:val="InternetLink"/>
                  <w:color w:val="000000"/>
                  <w:sz w:val="22"/>
                  <w:szCs w:val="22"/>
                  <w:u w:val="none"/>
                </w:rPr>
                <w:t>Івано-Франківського обласного центру зайнятості</w:t>
              </w:r>
            </w:hyperlink>
          </w:p>
        </w:tc>
      </w:tr>
    </w:tbl>
    <w:p>
      <w:pPr>
        <w:pStyle w:val="Normal"/>
        <w:rPr>
          <w:sz w:val="28"/>
          <w:szCs w:val="28"/>
        </w:rPr>
      </w:pPr>
      <w:r>
        <w:rPr>
          <w:sz w:val="28"/>
          <w:szCs w:val="28"/>
        </w:rPr>
      </w:r>
    </w:p>
    <w:p>
      <w:pPr>
        <w:pStyle w:val="Normal"/>
        <w:rPr/>
      </w:pPr>
      <w:bookmarkStart w:id="0" w:name="_GoBack"/>
      <w:bookmarkEnd w:id="0"/>
      <w:r>
        <w:rPr>
          <w:b/>
          <w:sz w:val="28"/>
          <w:szCs w:val="28"/>
        </w:rPr>
        <w:t>Заступник директора департаменту розвитку громад та територій,</w:t>
      </w:r>
    </w:p>
    <w:p>
      <w:pPr>
        <w:pStyle w:val="Normal"/>
        <w:rPr/>
      </w:pPr>
      <w:r>
        <w:rPr>
          <w:b/>
          <w:sz w:val="28"/>
          <w:szCs w:val="28"/>
        </w:rPr>
        <w:t>дорожнього, житлово-комунального господарства,</w:t>
      </w:r>
    </w:p>
    <w:p>
      <w:pPr>
        <w:pStyle w:val="Normal"/>
        <w:rPr>
          <w:b/>
          <w:b/>
          <w:sz w:val="28"/>
          <w:szCs w:val="28"/>
        </w:rPr>
      </w:pPr>
      <w:r>
        <w:rPr>
          <w:b/>
          <w:sz w:val="28"/>
          <w:szCs w:val="28"/>
        </w:rPr>
        <w:t>містобудування та архітектури</w:t>
      </w:r>
    </w:p>
    <w:p>
      <w:pPr>
        <w:pStyle w:val="Normal"/>
        <w:rPr>
          <w:b/>
          <w:b/>
          <w:sz w:val="28"/>
          <w:szCs w:val="28"/>
        </w:rPr>
      </w:pPr>
      <w:r>
        <w:rPr>
          <w:b/>
          <w:sz w:val="28"/>
          <w:szCs w:val="28"/>
        </w:rPr>
        <w:t>Івано-Франківської облдержадміністрації</w:t>
        <w:tab/>
        <w:tab/>
        <w:tab/>
        <w:tab/>
        <w:tab/>
        <w:tab/>
        <w:tab/>
        <w:tab/>
        <w:tab/>
        <w:t>Роман ДУНИЧ</w:t>
      </w:r>
    </w:p>
    <w:p>
      <w:pPr>
        <w:pStyle w:val="Normal"/>
        <w:rPr>
          <w:b/>
          <w:b/>
          <w:sz w:val="28"/>
          <w:szCs w:val="28"/>
          <w:lang w:val="en-US"/>
        </w:rPr>
      </w:pPr>
      <w:r>
        <w:rPr>
          <w:b/>
          <w:sz w:val="28"/>
          <w:szCs w:val="28"/>
          <w:lang w:val="en-US"/>
        </w:rPr>
      </w:r>
    </w:p>
    <w:p>
      <w:pPr>
        <w:pStyle w:val="Normal"/>
        <w:rPr/>
      </w:pPr>
      <w:r>
        <w:rPr/>
        <w:t>Ігор Шевчук</w:t>
      </w:r>
    </w:p>
    <w:p>
      <w:pPr>
        <w:pStyle w:val="Normal"/>
        <w:rPr/>
      </w:pPr>
      <w:r>
        <w:rPr/>
        <w:t>098-774-07-84</w:t>
      </w:r>
    </w:p>
    <w:sectPr>
      <w:type w:val="nextPage"/>
      <w:pgSz w:orient="landscape" w:w="16838" w:h="11906"/>
      <w:pgMar w:left="1134" w:right="1134" w:header="0" w:top="1985"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imes New Roman">
    <w:charset w:val="01" w:characterSet="utf-8"/>
    <w:family w:val="roman"/>
    <w:pitch w:val="variable"/>
  </w:font>
  <w:font w:name="Times New Roman">
    <w:charset w:val="cc" w:characterSet="windows-1251"/>
    <w:family w:val="roman"/>
    <w:pitch w:val="variable"/>
  </w:font>
  <w:font w:name="Calibri">
    <w:charset w:val="cc" w:characterSet="windows-1251"/>
    <w:family w:val="swiss"/>
    <w:pitch w:val="variable"/>
  </w:font>
  <w:font w:name="Courier New">
    <w:charset w:val="cc" w:characterSet="windows-1251"/>
    <w:family w:val="modern"/>
    <w:pitch w:val="default"/>
  </w:font>
  <w:font w:name="Wingdings">
    <w:charset w:val="02"/>
    <w:family w:val="auto"/>
    <w:pitch w:val="variable"/>
  </w:font>
  <w:font w:name="Antiqua">
    <w:altName w:val="Times New Roman"/>
    <w:charset w:val="00" w:characterSet="windows-1252"/>
    <w:family w:val="auto"/>
    <w:pitch w:val="variable"/>
  </w:font>
  <w:font w:name="Georgia">
    <w:charset w:val="cc" w:characterSet="windows-1251"/>
    <w:family w:val="roman"/>
    <w:pitch w:val="variable"/>
  </w:font>
  <w:font w:name="Segoe UI">
    <w:charset w:val="cc" w:characterSet="windows-1251"/>
    <w:family w:val="swiss"/>
    <w:pitch w:val="variable"/>
  </w:font>
  <w:font w:name="Arial">
    <w:charset w:val="cc" w:characterSet="windows-1251"/>
    <w:family w:val="swiss"/>
    <w:pitch w:val="variable"/>
  </w:font>
  <w:font w:name="Verdana">
    <w:charset w:val="cc" w:characterSet="windows-125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Lohit Devanagari"/>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uk-UA" w:bidi="ar-SA" w:eastAsia="zh-CN"/>
    </w:rPr>
  </w:style>
  <w:style w:type="paragraph" w:styleId="Heading1">
    <w:name w:val="Heading 1"/>
    <w:basedOn w:val="Normal"/>
    <w:next w:val="TextBody"/>
    <w:qFormat/>
    <w:pPr>
      <w:numPr>
        <w:ilvl w:val="0"/>
        <w:numId w:val="1"/>
      </w:numPr>
      <w:spacing w:before="280" w:after="280"/>
      <w:outlineLvl w:val="0"/>
    </w:pPr>
    <w:rPr>
      <w:rFonts w:eastAsia="Times New Roman"/>
      <w:b/>
      <w:bCs/>
      <w:kern w:val="2"/>
      <w:sz w:val="48"/>
      <w:szCs w:val="48"/>
    </w:rPr>
  </w:style>
  <w:style w:type="paragraph" w:styleId="Heading2">
    <w:name w:val="Heading 2"/>
    <w:basedOn w:val="Normal"/>
    <w:next w:val="Normal"/>
    <w:qFormat/>
    <w:pPr>
      <w:keepNext w:val="true"/>
      <w:keepLines/>
      <w:numPr>
        <w:ilvl w:val="1"/>
        <w:numId w:val="1"/>
      </w:numPr>
      <w:spacing w:lineRule="auto" w:line="256" w:before="360" w:after="80"/>
      <w:outlineLvl w:val="1"/>
    </w:pPr>
    <w:rPr>
      <w:rFonts w:ascii="Calibri" w:hAnsi="Calibri" w:eastAsia="Times New Roman" w:cs="Calibri"/>
      <w:b/>
      <w:sz w:val="36"/>
      <w:szCs w:val="36"/>
    </w:rPr>
  </w:style>
  <w:style w:type="paragraph" w:styleId="Heading3">
    <w:name w:val="Heading 3"/>
    <w:basedOn w:val="Normal"/>
    <w:next w:val="Normal"/>
    <w:qFormat/>
    <w:pPr>
      <w:keepNext w:val="true"/>
      <w:keepLines/>
      <w:numPr>
        <w:ilvl w:val="2"/>
        <w:numId w:val="1"/>
      </w:numPr>
      <w:spacing w:lineRule="auto" w:line="256" w:before="280" w:after="80"/>
      <w:outlineLvl w:val="2"/>
    </w:pPr>
    <w:rPr>
      <w:rFonts w:ascii="Calibri" w:hAnsi="Calibri" w:eastAsia="Times New Roman" w:cs="Calibri"/>
      <w:b/>
      <w:sz w:val="28"/>
      <w:szCs w:val="28"/>
    </w:rPr>
  </w:style>
  <w:style w:type="paragraph" w:styleId="Heading4">
    <w:name w:val="Heading 4"/>
    <w:basedOn w:val="Normal"/>
    <w:next w:val="Normal"/>
    <w:qFormat/>
    <w:pPr>
      <w:keepNext w:val="true"/>
      <w:keepLines/>
      <w:numPr>
        <w:ilvl w:val="3"/>
        <w:numId w:val="1"/>
      </w:numPr>
      <w:spacing w:lineRule="auto" w:line="256" w:before="240" w:after="40"/>
      <w:outlineLvl w:val="3"/>
    </w:pPr>
    <w:rPr>
      <w:rFonts w:ascii="Calibri" w:hAnsi="Calibri" w:eastAsia="Times New Roman" w:cs="Calibri"/>
      <w:b/>
    </w:rPr>
  </w:style>
  <w:style w:type="paragraph" w:styleId="Heading5">
    <w:name w:val="Heading 5"/>
    <w:basedOn w:val="Normal"/>
    <w:next w:val="Normal"/>
    <w:qFormat/>
    <w:pPr>
      <w:keepNext w:val="true"/>
      <w:keepLines/>
      <w:numPr>
        <w:ilvl w:val="4"/>
        <w:numId w:val="1"/>
      </w:numPr>
      <w:spacing w:lineRule="auto" w:line="256" w:before="220" w:after="40"/>
      <w:outlineLvl w:val="4"/>
    </w:pPr>
    <w:rPr>
      <w:rFonts w:ascii="Calibri" w:hAnsi="Calibri" w:eastAsia="Times New Roman" w:cs="Calibri"/>
      <w:b/>
      <w:sz w:val="22"/>
      <w:szCs w:val="22"/>
    </w:rPr>
  </w:style>
  <w:style w:type="paragraph" w:styleId="Heading6">
    <w:name w:val="Heading 6"/>
    <w:basedOn w:val="Normal"/>
    <w:next w:val="Normal"/>
    <w:qFormat/>
    <w:pPr>
      <w:keepNext w:val="true"/>
      <w:keepLines/>
      <w:numPr>
        <w:ilvl w:val="5"/>
        <w:numId w:val="1"/>
      </w:numPr>
      <w:spacing w:lineRule="auto" w:line="256" w:before="200" w:after="40"/>
      <w:outlineLvl w:val="5"/>
    </w:pPr>
    <w:rPr>
      <w:rFonts w:ascii="Calibri" w:hAnsi="Calibri" w:eastAsia="Times New Roman" w:cs="Calibri"/>
      <w:b/>
      <w:sz w:val="20"/>
      <w:szCs w:val="20"/>
    </w:rPr>
  </w:style>
  <w:style w:type="character" w:styleId="WW8Num1z0">
    <w:name w:val="WW8Num1z0"/>
    <w:qFormat/>
    <w:rPr>
      <w:b w:val="false"/>
      <w:bCs w:val="false"/>
      <w:i w:val="false"/>
      <w:iCs w:val="false"/>
      <w:caps w:val="false"/>
      <w:smallCaps w:val="false"/>
      <w:strike w:val="false"/>
      <w:dstrike w:val="false"/>
      <w:color w:val="000000"/>
      <w:spacing w:val="0"/>
      <w:w w:val="100"/>
      <w:position w:val="0"/>
      <w:sz w:val="22"/>
      <w:sz w:val="22"/>
      <w:szCs w:val="22"/>
      <w:u w:val="none"/>
      <w:vertAlign w:val="baseline"/>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z w:val="26"/>
      <w:szCs w:val="26"/>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cs="Times New Roman"/>
    </w:rPr>
  </w:style>
  <w:style w:type="character" w:styleId="WW8Num7z1">
    <w:name w:val="WW8Num7z1"/>
    <w:qFormat/>
    <w:rPr>
      <w:rFonts w:cs="Times New Roman"/>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cs="Times New Roman"/>
      <w:u w:val="none"/>
    </w:rPr>
  </w:style>
  <w:style w:type="character" w:styleId="WW8Num10z0">
    <w:name w:val="WW8Num10z0"/>
    <w:qFormat/>
    <w:rPr>
      <w:rFonts w:cs="Times New Roman"/>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z w:val="26"/>
      <w:szCs w:val="26"/>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Style8">
    <w:name w:val="Основной шрифт абзаца"/>
    <w:qFormat/>
    <w:rPr/>
  </w:style>
  <w:style w:type="character" w:styleId="Emphasis">
    <w:name w:val="Emphasis"/>
    <w:qFormat/>
    <w:rPr>
      <w:i/>
      <w:iCs/>
    </w:rPr>
  </w:style>
  <w:style w:type="character" w:styleId="PageNumber">
    <w:name w:val="Page Number"/>
    <w:basedOn w:val="Style8"/>
    <w:rPr/>
  </w:style>
  <w:style w:type="character" w:styleId="1">
    <w:name w:val=" Знак Знак1"/>
    <w:qFormat/>
    <w:rPr>
      <w:b/>
      <w:bCs/>
      <w:kern w:val="2"/>
      <w:sz w:val="48"/>
      <w:szCs w:val="48"/>
      <w:lang w:val="uk-UA" w:bidi="ar-SA"/>
    </w:rPr>
  </w:style>
  <w:style w:type="character" w:styleId="Heading2Char">
    <w:name w:val="Heading 2 Char"/>
    <w:basedOn w:val="Style8"/>
    <w:qFormat/>
    <w:rPr>
      <w:rFonts w:ascii="Calibri" w:hAnsi="Calibri" w:cs="Calibri"/>
      <w:b/>
      <w:sz w:val="36"/>
      <w:szCs w:val="36"/>
      <w:lang w:val="uk-UA" w:bidi="ar-SA"/>
    </w:rPr>
  </w:style>
  <w:style w:type="character" w:styleId="4">
    <w:name w:val=" Знак Знак4"/>
    <w:basedOn w:val="Style8"/>
    <w:qFormat/>
    <w:rPr>
      <w:rFonts w:ascii="Calibri" w:hAnsi="Calibri" w:cs="Calibri"/>
      <w:b/>
      <w:sz w:val="28"/>
      <w:szCs w:val="28"/>
      <w:lang w:val="uk-UA" w:bidi="ar-SA"/>
    </w:rPr>
  </w:style>
  <w:style w:type="character" w:styleId="Heading4Char">
    <w:name w:val="Heading 4 Char"/>
    <w:basedOn w:val="Style8"/>
    <w:qFormat/>
    <w:rPr>
      <w:rFonts w:ascii="Calibri" w:hAnsi="Calibri" w:cs="Calibri"/>
      <w:b/>
      <w:sz w:val="24"/>
      <w:szCs w:val="24"/>
      <w:lang w:val="uk-UA" w:bidi="ar-SA"/>
    </w:rPr>
  </w:style>
  <w:style w:type="character" w:styleId="Heading5Char">
    <w:name w:val="Heading 5 Char"/>
    <w:basedOn w:val="Style8"/>
    <w:qFormat/>
    <w:rPr>
      <w:rFonts w:ascii="Calibri" w:hAnsi="Calibri" w:cs="Calibri"/>
      <w:b/>
      <w:sz w:val="22"/>
      <w:szCs w:val="22"/>
      <w:lang w:val="uk-UA" w:bidi="ar-SA"/>
    </w:rPr>
  </w:style>
  <w:style w:type="character" w:styleId="Heading6Char">
    <w:name w:val="Heading 6 Char"/>
    <w:basedOn w:val="Style8"/>
    <w:qFormat/>
    <w:rPr>
      <w:rFonts w:ascii="Calibri" w:hAnsi="Calibri" w:cs="Calibri"/>
      <w:b/>
      <w:lang w:val="uk-UA" w:bidi="ar-SA"/>
    </w:rPr>
  </w:style>
  <w:style w:type="character" w:styleId="Style9">
    <w:name w:val=" Знак Знак"/>
    <w:qFormat/>
    <w:rPr>
      <w:rFonts w:eastAsia="Calibri"/>
      <w:sz w:val="24"/>
      <w:szCs w:val="24"/>
      <w:lang w:val="uk-UA" w:bidi="ar-SA"/>
    </w:rPr>
  </w:style>
  <w:style w:type="character" w:styleId="5">
    <w:name w:val=" Знак Знак5"/>
    <w:qFormat/>
    <w:rPr>
      <w:rFonts w:ascii="Antiqua;Times New Roman" w:hAnsi="Antiqua;Times New Roman" w:cs="Antiqua;Times New Roman"/>
      <w:sz w:val="26"/>
    </w:rPr>
  </w:style>
  <w:style w:type="character" w:styleId="HeaderChar1">
    <w:name w:val="Header Char1"/>
    <w:qFormat/>
    <w:rPr>
      <w:rFonts w:ascii="Antiqua;Times New Roman" w:hAnsi="Antiqua;Times New Roman" w:cs="Antiqua;Times New Roman"/>
      <w:sz w:val="26"/>
      <w:lang w:val="en-US"/>
    </w:rPr>
  </w:style>
  <w:style w:type="character" w:styleId="2">
    <w:name w:val="Основний текст (2)_"/>
    <w:basedOn w:val="Style8"/>
    <w:qFormat/>
    <w:rPr>
      <w:lang w:bidi="ar-SA"/>
    </w:rPr>
  </w:style>
  <w:style w:type="character" w:styleId="2105pt">
    <w:name w:val="Основний текст (2) + 10.5 pt"/>
    <w:basedOn w:val="2"/>
    <w:qFormat/>
    <w:rPr>
      <w:color w:val="000000"/>
      <w:spacing w:val="0"/>
      <w:w w:val="100"/>
      <w:position w:val="0"/>
      <w:sz w:val="21"/>
      <w:sz w:val="21"/>
      <w:szCs w:val="21"/>
      <w:vertAlign w:val="baseline"/>
      <w:lang w:val="uk-UA"/>
    </w:rPr>
  </w:style>
  <w:style w:type="character" w:styleId="InternetLink">
    <w:name w:val="Hyperlink"/>
    <w:basedOn w:val="Style8"/>
    <w:rPr>
      <w:color w:val="0000FF"/>
      <w:u w:val="single"/>
    </w:rPr>
  </w:style>
  <w:style w:type="character" w:styleId="TitleChar">
    <w:name w:val="Title Char"/>
    <w:basedOn w:val="Style8"/>
    <w:qFormat/>
    <w:rPr>
      <w:rFonts w:ascii="Calibri" w:hAnsi="Calibri" w:cs="Calibri"/>
      <w:b/>
      <w:sz w:val="72"/>
      <w:szCs w:val="72"/>
      <w:lang w:val="uk-UA" w:bidi="ar-SA"/>
    </w:rPr>
  </w:style>
  <w:style w:type="character" w:styleId="SubtitleChar">
    <w:name w:val="Subtitle Char"/>
    <w:basedOn w:val="Style8"/>
    <w:qFormat/>
    <w:rPr>
      <w:rFonts w:ascii="Georgia" w:hAnsi="Georgia" w:cs="Georgia"/>
      <w:i/>
      <w:color w:val="666666"/>
      <w:sz w:val="48"/>
      <w:szCs w:val="48"/>
      <w:lang w:val="uk-UA" w:bidi="ar-SA"/>
    </w:rPr>
  </w:style>
  <w:style w:type="character" w:styleId="CommentTextChar">
    <w:name w:val="Comment Text Char"/>
    <w:basedOn w:val="Style8"/>
    <w:qFormat/>
    <w:rPr>
      <w:rFonts w:ascii="Calibri" w:hAnsi="Calibri" w:cs="Calibri"/>
      <w:lang w:val="uk-UA" w:bidi="ar-SA"/>
    </w:rPr>
  </w:style>
  <w:style w:type="character" w:styleId="BalloonTextChar">
    <w:name w:val="Balloon Text Char"/>
    <w:basedOn w:val="Style8"/>
    <w:qFormat/>
    <w:rPr>
      <w:rFonts w:ascii="Segoe UI" w:hAnsi="Segoe UI" w:cs="Segoe UI"/>
      <w:sz w:val="18"/>
      <w:szCs w:val="18"/>
      <w:lang w:val="uk-UA" w:bidi="ar-SA"/>
    </w:rPr>
  </w:style>
  <w:style w:type="character" w:styleId="HeaderChar">
    <w:name w:val="Header Char"/>
    <w:basedOn w:val="Style8"/>
    <w:qFormat/>
    <w:rPr>
      <w:rFonts w:cs="Times New Roman"/>
    </w:rPr>
  </w:style>
  <w:style w:type="character" w:styleId="FooterChar">
    <w:name w:val="Footer Char"/>
    <w:basedOn w:val="Style8"/>
    <w:qFormat/>
    <w:rPr>
      <w:rFonts w:ascii="Calibri" w:hAnsi="Calibri" w:cs="Calibri"/>
      <w:sz w:val="22"/>
      <w:szCs w:val="22"/>
      <w:lang w:val="uk-UA" w:bidi="ar-SA"/>
    </w:rPr>
  </w:style>
  <w:style w:type="character" w:styleId="Rvts82">
    <w:name w:val="rvts82"/>
    <w:basedOn w:val="Style8"/>
    <w:qFormat/>
    <w:rPr/>
  </w:style>
  <w:style w:type="character" w:styleId="Rvts0">
    <w:name w:val="rvts0"/>
    <w:basedOn w:val="Style8"/>
    <w:qFormat/>
    <w:rPr/>
  </w:style>
  <w:style w:type="character" w:styleId="X193iq5wxeuuglix13faqbex1vvkbsx1xmvt09x1lliihqx1s928wvxhkezsox1gmr53xx1cpjm7ix1fgartyx1943h6xxudqn12x3x7a5mx6prxxfxvq8zenxo1l8bmxzsf02ux1yc453h">
    <w:name w:val="x193iq5w xeuugli x13faqbe x1vvkbs x1xmvt09 x1lliihq x1s928wv xhkezso x1gmr53x x1cpjm7i x1fgarty x1943h6x xudqn12 x3x7a5m x6prxxf xvq8zen xo1l8bm xzsf02u x1yc453h"/>
    <w:basedOn w:val="Style8"/>
    <w:qFormat/>
    <w:rPr/>
  </w:style>
  <w:style w:type="character" w:styleId="Xfmc1">
    <w:name w:val="xfmc1"/>
    <w:basedOn w:val="Style8"/>
    <w:qFormat/>
    <w:rPr/>
  </w:style>
  <w:style w:type="character" w:styleId="VisitedInternetLink">
    <w:name w:val="FollowedHyperlink"/>
    <w:basedOn w:val="Style8"/>
    <w:rPr>
      <w:color w:val="800080"/>
      <w:u w:val="single"/>
    </w:rPr>
  </w:style>
  <w:style w:type="character" w:styleId="StrongEmphasis">
    <w:name w:val="Strong Emphasis"/>
    <w:basedOn w:val="Style8"/>
    <w:qFormat/>
    <w:rPr>
      <w:b/>
      <w:bCs/>
    </w:rPr>
  </w:style>
  <w:style w:type="character" w:styleId="X193iq5w">
    <w:name w:val="x193iq5w"/>
    <w:qFormat/>
    <w:rPr/>
  </w:style>
  <w:style w:type="character" w:styleId="Heading1Char">
    <w:name w:val="Heading 1 Char"/>
    <w:basedOn w:val="Style8"/>
    <w:qFormat/>
    <w:rPr>
      <w:rFonts w:cs="Times New Roman"/>
      <w:b/>
      <w:smallCaps/>
    </w:rPr>
  </w:style>
  <w:style w:type="character" w:styleId="Heading3Char">
    <w:name w:val="Heading 3 Char"/>
    <w:basedOn w:val="Style8"/>
    <w:qFormat/>
    <w:rPr>
      <w:rFonts w:cs="Times New Roman"/>
      <w:b/>
      <w:i/>
    </w:rPr>
  </w:style>
  <w:style w:type="character" w:styleId="CommentSubjectChar">
    <w:name w:val="Comment Subject Char"/>
    <w:basedOn w:val="CommentTextChar"/>
    <w:qFormat/>
    <w:rPr>
      <w:rFonts w:ascii="Arial" w:hAnsi="Arial" w:cs="Arial"/>
      <w:b/>
      <w:bCs/>
    </w:rPr>
  </w:style>
  <w:style w:type="character" w:styleId="Style10">
    <w:name w:val="Знак примечания"/>
    <w:basedOn w:val="Style8"/>
    <w:qFormat/>
    <w:rPr>
      <w:rFonts w:cs="Times New Roman"/>
      <w:sz w:val="16"/>
      <w:szCs w:val="16"/>
    </w:rPr>
  </w:style>
  <w:style w:type="paragraph" w:styleId="Heading">
    <w:name w:val="Heading"/>
    <w:basedOn w:val="Normal"/>
    <w:next w:val="Normal"/>
    <w:qFormat/>
    <w:pPr>
      <w:keepNext w:val="true"/>
      <w:keepLines/>
      <w:spacing w:lineRule="auto" w:line="256" w:before="480" w:after="120"/>
    </w:pPr>
    <w:rPr>
      <w:rFonts w:ascii="Calibri" w:hAnsi="Calibri" w:eastAsia="Times New Roman" w:cs="Calibri"/>
      <w:b/>
      <w:sz w:val="72"/>
      <w:szCs w:val="72"/>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hapkaDocumentu">
    <w:name w:val="Shapka Documentu"/>
    <w:basedOn w:val="Normal"/>
    <w:qFormat/>
    <w:pPr>
      <w:keepNext w:val="true"/>
      <w:keepLines/>
      <w:spacing w:before="0" w:after="240"/>
      <w:ind w:start="3969" w:hanging="0"/>
      <w:jc w:val="center"/>
    </w:pPr>
    <w:rPr>
      <w:rFonts w:ascii="Antiqua;Times New Roman" w:hAnsi="Antiqua;Times New Roman" w:eastAsia="Times New Roman" w:cs="Antiqua;Times New Roman"/>
      <w:sz w:val="26"/>
      <w:szCs w:val="20"/>
    </w:rPr>
  </w:style>
  <w:style w:type="paragraph" w:styleId="Docdata">
    <w:name w:val="docdata"/>
    <w:basedOn w:val="Normal"/>
    <w:qFormat/>
    <w:pPr>
      <w:spacing w:before="280" w:after="280"/>
    </w:pPr>
    <w:rPr>
      <w:rFonts w:eastAsia="Times New Roman"/>
    </w:rPr>
  </w:style>
  <w:style w:type="paragraph" w:styleId="Style11">
    <w:name w:val="Обычный (веб)"/>
    <w:basedOn w:val="Normal"/>
    <w:qFormat/>
    <w:pPr>
      <w:spacing w:before="280" w:after="280"/>
    </w:pPr>
    <w:rPr>
      <w:rFonts w:eastAsia="Times New Roman"/>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819" w:leader="none"/>
        <w:tab w:val="right" w:pos="9639" w:leader="none"/>
      </w:tabs>
    </w:pPr>
    <w:rPr/>
  </w:style>
  <w:style w:type="paragraph" w:styleId="Style12">
    <w:name w:val="Абзац списка"/>
    <w:basedOn w:val="Normal"/>
    <w:qFormat/>
    <w:pPr>
      <w:autoSpaceDE w:val="false"/>
      <w:ind w:start="708" w:hanging="0"/>
    </w:pPr>
    <w:rPr>
      <w:rFonts w:eastAsia="Times New Roman"/>
      <w:sz w:val="20"/>
      <w:szCs w:val="20"/>
      <w:lang w:val="ru-RU"/>
    </w:rPr>
  </w:style>
  <w:style w:type="paragraph" w:styleId="Style13">
    <w:name w:val=" Знак Знак Знак Знак"/>
    <w:basedOn w:val="Normal"/>
    <w:qFormat/>
    <w:pPr/>
    <w:rPr>
      <w:rFonts w:ascii="Verdana" w:hAnsi="Verdana" w:eastAsia="Times New Roman" w:cs="Verdana"/>
      <w:sz w:val="20"/>
      <w:szCs w:val="20"/>
      <w:lang w:val="en-US"/>
    </w:rPr>
  </w:style>
  <w:style w:type="paragraph" w:styleId="Style14">
    <w:name w:val="Нормальний текст"/>
    <w:basedOn w:val="Normal"/>
    <w:qFormat/>
    <w:pPr>
      <w:spacing w:before="120" w:after="0"/>
      <w:ind w:firstLine="567"/>
    </w:pPr>
    <w:rPr>
      <w:rFonts w:ascii="Antiqua;Times New Roman" w:hAnsi="Antiqua;Times New Roman" w:eastAsia="Times New Roman" w:cs="Antiqua;Times New Roman"/>
      <w:sz w:val="26"/>
      <w:szCs w:val="20"/>
    </w:rPr>
  </w:style>
  <w:style w:type="paragraph" w:styleId="3">
    <w:name w:val="Підпис3"/>
    <w:basedOn w:val="Normal"/>
    <w:qFormat/>
    <w:pPr>
      <w:keepLines/>
      <w:tabs>
        <w:tab w:val="clear" w:pos="708"/>
        <w:tab w:val="center" w:pos="2268" w:leader="none"/>
        <w:tab w:val="left" w:pos="6804" w:leader="none"/>
      </w:tabs>
      <w:spacing w:before="360" w:after="0"/>
    </w:pPr>
    <w:rPr>
      <w:rFonts w:ascii="Antiqua;Times New Roman" w:hAnsi="Antiqua;Times New Roman" w:eastAsia="Times New Roman" w:cs="Antiqua;Times New Roman"/>
      <w:b/>
      <w:sz w:val="26"/>
      <w:szCs w:val="20"/>
      <w:vertAlign w:val="subscript"/>
    </w:rPr>
  </w:style>
  <w:style w:type="paragraph" w:styleId="Style15">
    <w:name w:val="Герб"/>
    <w:basedOn w:val="Normal"/>
    <w:qFormat/>
    <w:pPr>
      <w:keepNext w:val="true"/>
      <w:keepLines/>
      <w:jc w:val="center"/>
    </w:pPr>
    <w:rPr>
      <w:rFonts w:ascii="Antiqua;Times New Roman" w:hAnsi="Antiqua;Times New Roman" w:eastAsia="Times New Roman" w:cs="Antiqua;Times New Roman"/>
      <w:sz w:val="144"/>
      <w:szCs w:val="20"/>
      <w:lang w:val="en-US"/>
    </w:rPr>
  </w:style>
  <w:style w:type="paragraph" w:styleId="21">
    <w:name w:val="Основний текст (2)"/>
    <w:basedOn w:val="Normal"/>
    <w:qFormat/>
    <w:pPr>
      <w:widowControl w:val="false"/>
      <w:shd w:fill="FFFFFF" w:val="clear"/>
    </w:pPr>
    <w:rPr>
      <w:rFonts w:eastAsia="Times New Roman"/>
      <w:sz w:val="20"/>
      <w:szCs w:val="20"/>
      <w:lang w:val="en-US" w:eastAsia="en-US"/>
    </w:rPr>
  </w:style>
  <w:style w:type="paragraph" w:styleId="Style16">
    <w:name w:val="Установа"/>
    <w:basedOn w:val="Normal"/>
    <w:qFormat/>
    <w:pPr>
      <w:keepNext w:val="true"/>
      <w:keepLines/>
      <w:spacing w:before="120" w:after="0"/>
      <w:jc w:val="center"/>
    </w:pPr>
    <w:rPr>
      <w:rFonts w:ascii="Antiqua;Times New Roman" w:hAnsi="Antiqua;Times New Roman" w:eastAsia="Times New Roman" w:cs="Antiqua;Times New Roman"/>
      <w:b/>
      <w:sz w:val="40"/>
      <w:szCs w:val="20"/>
    </w:rPr>
  </w:style>
  <w:style w:type="paragraph" w:styleId="NoSpacing">
    <w:name w:val="No Spacing"/>
    <w:qFormat/>
    <w:pPr>
      <w:widowControl/>
      <w:bidi w:val="0"/>
    </w:pPr>
    <w:rPr>
      <w:rFonts w:ascii="Calibri" w:hAnsi="Calibri" w:eastAsia="Times New Roman" w:cs="Calibri"/>
      <w:color w:val="auto"/>
      <w:sz w:val="22"/>
      <w:szCs w:val="22"/>
      <w:lang w:val="uk-UA" w:bidi="ar-SA" w:eastAsia="zh-CN"/>
    </w:rPr>
  </w:style>
  <w:style w:type="paragraph" w:styleId="Subtitle">
    <w:name w:val="Subtitle"/>
    <w:basedOn w:val="Normal"/>
    <w:next w:val="Normal"/>
    <w:qFormat/>
    <w:pPr>
      <w:keepNext w:val="true"/>
      <w:keepLines/>
      <w:spacing w:lineRule="auto" w:line="256" w:before="360" w:after="80"/>
    </w:pPr>
    <w:rPr>
      <w:rFonts w:ascii="Georgia" w:hAnsi="Georgia" w:eastAsia="Times New Roman" w:cs="Georgia"/>
      <w:i/>
      <w:color w:val="666666"/>
      <w:sz w:val="48"/>
      <w:szCs w:val="48"/>
    </w:rPr>
  </w:style>
  <w:style w:type="paragraph" w:styleId="Style17">
    <w:name w:val="Текст примечания"/>
    <w:basedOn w:val="Normal"/>
    <w:qFormat/>
    <w:pPr>
      <w:spacing w:before="0" w:after="160"/>
    </w:pPr>
    <w:rPr>
      <w:rFonts w:ascii="Calibri" w:hAnsi="Calibri" w:eastAsia="Times New Roman" w:cs="Calibri"/>
      <w:sz w:val="20"/>
      <w:szCs w:val="20"/>
    </w:rPr>
  </w:style>
  <w:style w:type="paragraph" w:styleId="Style18">
    <w:name w:val="Текст выноски"/>
    <w:basedOn w:val="Normal"/>
    <w:qFormat/>
    <w:pPr/>
    <w:rPr>
      <w:rFonts w:ascii="Segoe UI" w:hAnsi="Segoe UI" w:eastAsia="Times New Roman" w:cs="Segoe UI"/>
      <w:sz w:val="18"/>
      <w:szCs w:val="18"/>
    </w:rPr>
  </w:style>
  <w:style w:type="paragraph" w:styleId="Footer">
    <w:name w:val="Footer"/>
    <w:basedOn w:val="Normal"/>
    <w:pPr>
      <w:tabs>
        <w:tab w:val="clear" w:pos="708"/>
        <w:tab w:val="center" w:pos="4677" w:leader="none"/>
        <w:tab w:val="right" w:pos="9355" w:leader="none"/>
      </w:tabs>
    </w:pPr>
    <w:rPr>
      <w:rFonts w:ascii="Calibri" w:hAnsi="Calibri" w:eastAsia="Times New Roman" w:cs="Calibri"/>
      <w:sz w:val="22"/>
      <w:szCs w:val="22"/>
    </w:rPr>
  </w:style>
  <w:style w:type="paragraph" w:styleId="ListParagraph">
    <w:name w:val="List Paragraph"/>
    <w:basedOn w:val="Normal"/>
    <w:qFormat/>
    <w:pPr>
      <w:spacing w:lineRule="auto" w:line="276" w:before="0" w:after="200"/>
      <w:ind w:start="720" w:hanging="0"/>
      <w:contextualSpacing/>
    </w:pPr>
    <w:rPr>
      <w:rFonts w:ascii="Calibri" w:hAnsi="Calibri" w:cs="Calibri"/>
      <w:sz w:val="22"/>
      <w:szCs w:val="22"/>
    </w:rPr>
  </w:style>
  <w:style w:type="paragraph" w:styleId="11">
    <w:name w:val="Знак1 Знак Знак Знак Знак Знак Знак Знак Знак Знак Знак Знак Знак Знак Знак Знак Знак Знак Знак Знак Знак1 Знак Знак Знак Знак"/>
    <w:basedOn w:val="Normal"/>
    <w:qFormat/>
    <w:pPr/>
    <w:rPr>
      <w:rFonts w:ascii="Verdana" w:hAnsi="Verdana" w:eastAsia="Times New Roman" w:cs="Verdana"/>
      <w:sz w:val="20"/>
      <w:szCs w:val="20"/>
      <w:lang w:val="en-US"/>
    </w:rPr>
  </w:style>
  <w:style w:type="paragraph" w:styleId="12">
    <w:name w:val="Без інтервалів1"/>
    <w:qFormat/>
    <w:pPr>
      <w:widowControl/>
      <w:bidi w:val="0"/>
    </w:pPr>
    <w:rPr>
      <w:rFonts w:ascii="Calibri" w:hAnsi="Calibri" w:eastAsia="Calibri" w:cs="Calibri"/>
      <w:color w:val="auto"/>
      <w:sz w:val="22"/>
      <w:szCs w:val="22"/>
      <w:lang w:val="uk-UA" w:bidi="ar-SA" w:eastAsia="zh-CN"/>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val="ru-RU"/>
    </w:rPr>
  </w:style>
  <w:style w:type="paragraph" w:styleId="Style19">
    <w:name w:val="Шапка документу"/>
    <w:basedOn w:val="Normal"/>
    <w:qFormat/>
    <w:pPr>
      <w:keepNext w:val="true"/>
      <w:keepLines/>
      <w:spacing w:before="0" w:after="240"/>
      <w:ind w:start="4536" w:hanging="0"/>
      <w:jc w:val="center"/>
    </w:pPr>
    <w:rPr>
      <w:rFonts w:eastAsia="Times New Roman"/>
      <w:sz w:val="28"/>
      <w:szCs w:val="20"/>
    </w:rPr>
  </w:style>
  <w:style w:type="paragraph" w:styleId="13">
    <w:name w:val="Підпис1"/>
    <w:basedOn w:val="Normal"/>
    <w:qFormat/>
    <w:pPr>
      <w:keepLines/>
      <w:tabs>
        <w:tab w:val="clear" w:pos="708"/>
        <w:tab w:val="center" w:pos="2268" w:leader="none"/>
        <w:tab w:val="left" w:pos="6804" w:leader="none"/>
      </w:tabs>
      <w:spacing w:before="360" w:after="0"/>
    </w:pPr>
    <w:rPr>
      <w:rFonts w:eastAsia="Times New Roman"/>
      <w:b/>
      <w:sz w:val="28"/>
      <w:szCs w:val="20"/>
      <w:vertAlign w:val="subscript"/>
    </w:rPr>
  </w:style>
  <w:style w:type="paragraph" w:styleId="Style20">
    <w:name w:val="Глава документу"/>
    <w:basedOn w:val="Normal"/>
    <w:next w:val="Normal"/>
    <w:qFormat/>
    <w:pPr>
      <w:keepNext w:val="true"/>
      <w:keepLines/>
      <w:spacing w:before="120" w:after="120"/>
      <w:jc w:val="center"/>
    </w:pPr>
    <w:rPr>
      <w:rFonts w:eastAsia="Times New Roman"/>
      <w:sz w:val="28"/>
      <w:szCs w:val="20"/>
    </w:rPr>
  </w:style>
  <w:style w:type="paragraph" w:styleId="Style21">
    <w:name w:val="Вид документа"/>
    <w:basedOn w:val="Style16"/>
    <w:next w:val="Normal"/>
    <w:qFormat/>
    <w:pPr>
      <w:spacing w:before="360" w:after="240"/>
    </w:pPr>
    <w:rPr>
      <w:rFonts w:ascii="Times New Roman" w:hAnsi="Times New Roman" w:cs="Times New Roman"/>
      <w:spacing w:val="20"/>
      <w:sz w:val="26"/>
    </w:rPr>
  </w:style>
  <w:style w:type="paragraph" w:styleId="Style22">
    <w:name w:val="Час та місце"/>
    <w:basedOn w:val="Normal"/>
    <w:qFormat/>
    <w:pPr>
      <w:keepNext w:val="true"/>
      <w:keepLines/>
      <w:spacing w:before="120" w:after="240"/>
      <w:jc w:val="center"/>
    </w:pPr>
    <w:rPr>
      <w:rFonts w:eastAsia="Times New Roman"/>
      <w:sz w:val="28"/>
      <w:szCs w:val="20"/>
    </w:rPr>
  </w:style>
  <w:style w:type="paragraph" w:styleId="Style23">
    <w:name w:val="Назва документа"/>
    <w:basedOn w:val="Normal"/>
    <w:next w:val="Style14"/>
    <w:qFormat/>
    <w:pPr>
      <w:keepNext w:val="true"/>
      <w:keepLines/>
      <w:spacing w:before="240" w:after="240"/>
      <w:jc w:val="center"/>
    </w:pPr>
    <w:rPr>
      <w:rFonts w:eastAsia="Times New Roman"/>
      <w:b/>
      <w:sz w:val="28"/>
      <w:szCs w:val="20"/>
    </w:rPr>
  </w:style>
  <w:style w:type="paragraph" w:styleId="NormalText">
    <w:name w:val="Normal Text"/>
    <w:basedOn w:val="Normal"/>
    <w:qFormat/>
    <w:pPr>
      <w:ind w:firstLine="567"/>
      <w:jc w:val="both"/>
    </w:pPr>
    <w:rPr>
      <w:rFonts w:eastAsia="Times New Roman"/>
      <w:sz w:val="28"/>
      <w:szCs w:val="20"/>
    </w:rPr>
  </w:style>
  <w:style w:type="paragraph" w:styleId="Msonormal">
    <w:name w:val="msonormal"/>
    <w:basedOn w:val="Normal"/>
    <w:qFormat/>
    <w:pPr>
      <w:spacing w:before="280" w:after="280"/>
    </w:pPr>
    <w:rPr>
      <w:rFonts w:eastAsia="Times New Roman"/>
    </w:rPr>
  </w:style>
  <w:style w:type="paragraph" w:styleId="Style24">
    <w:name w:val="Тема примечания"/>
    <w:basedOn w:val="Style17"/>
    <w:next w:val="Style17"/>
    <w:qFormat/>
    <w:pPr>
      <w:spacing w:before="0" w:after="0"/>
    </w:pPr>
    <w:rPr>
      <w:rFonts w:ascii="Arial" w:hAnsi="Arial" w:cs="Arial"/>
      <w:b/>
      <w:bCs/>
    </w:rPr>
  </w:style>
  <w:style w:type="paragraph" w:styleId="TableParagraph">
    <w:name w:val="Table Paragraph"/>
    <w:basedOn w:val="Normal"/>
    <w:qFormat/>
    <w:pPr>
      <w:widowControl w:val="false"/>
      <w:autoSpaceDE w:val="false"/>
      <w:ind w:start="108" w:hanging="0"/>
    </w:pPr>
    <w:rPr>
      <w:rFonts w:eastAsia="Times New Roman"/>
      <w:sz w:val="22"/>
      <w:szCs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fr.dcz.gov.ua/" TargetMode="External"/><Relationship Id="rId3" Type="http://schemas.openxmlformats.org/officeDocument/2006/relationships/hyperlink" Target="https://ifr.dcz.gov.u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LibreOfficeDev/6.4.7.2$Linux_X86_64 LibreOffice_project/</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2025-05-22T07:36:00Z</dcterms:created>
  <dc:creator>Користувач Windows</dc:creator>
  <dc:description/>
  <cp:keywords/>
  <dc:language>en-US</dc:language>
  <cp:lastModifiedBy>Користувач Windows</cp:lastModifiedBy>
  <cp:lastPrinted>2025-05-22T10:05:00Z</cp:lastPrinted>
  <dcterms:modified xsi:type="dcterms:W3CDTF">2025-05-22T07:36:00Z</dcterms:modified>
  <cp:revision>2</cp:revision>
  <dc:subject/>
  <dc:title>План заходів на 2023-2024 роки з реалізації Національної стратегії із створення безбар’єрного простору </dc:title>
</cp:coreProperties>
</file>