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62B" w:rsidRDefault="00FC062B" w:rsidP="00332E56">
      <w:pPr>
        <w:pStyle w:val="rvps1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FC062B" w:rsidRPr="00F90A24" w:rsidRDefault="00FC062B" w:rsidP="00332E56">
      <w:pPr>
        <w:pStyle w:val="rvps14"/>
        <w:spacing w:before="0" w:beforeAutospacing="0" w:after="0" w:afterAutospacing="0"/>
        <w:jc w:val="center"/>
        <w:rPr>
          <w:b/>
        </w:rPr>
      </w:pPr>
      <w:r>
        <w:rPr>
          <w:b/>
        </w:rPr>
        <w:t>П</w:t>
      </w:r>
      <w:r w:rsidRPr="00F90A24">
        <w:rPr>
          <w:b/>
        </w:rPr>
        <w:t xml:space="preserve">ро виконання заходів, затверджених </w:t>
      </w:r>
      <w:r>
        <w:rPr>
          <w:b/>
        </w:rPr>
        <w:t>«</w:t>
      </w:r>
      <w:r w:rsidRPr="00F90A24">
        <w:rPr>
          <w:b/>
        </w:rPr>
        <w:t xml:space="preserve">Планом роботи обласного комітету  </w:t>
      </w:r>
    </w:p>
    <w:p w:rsidR="00FC062B" w:rsidRDefault="00FC062B" w:rsidP="00332E56">
      <w:pPr>
        <w:pStyle w:val="rvps14"/>
        <w:spacing w:before="0" w:beforeAutospacing="0" w:after="0" w:afterAutospacing="0"/>
        <w:jc w:val="center"/>
        <w:rPr>
          <w:b/>
        </w:rPr>
      </w:pPr>
      <w:r w:rsidRPr="00F90A24">
        <w:rPr>
          <w:b/>
        </w:rPr>
        <w:t>забезпечення доступності осіб з інвалідністю та інших  маломобільних груп населення</w:t>
      </w:r>
    </w:p>
    <w:p w:rsidR="00FC062B" w:rsidRDefault="00FC062B" w:rsidP="00332E56">
      <w:pPr>
        <w:pStyle w:val="rvps14"/>
        <w:spacing w:before="0" w:beforeAutospacing="0" w:after="0" w:afterAutospacing="0"/>
        <w:jc w:val="center"/>
      </w:pPr>
      <w:r w:rsidRPr="00F90A24">
        <w:rPr>
          <w:b/>
        </w:rPr>
        <w:t xml:space="preserve"> до об</w:t>
      </w:r>
      <w:r w:rsidRPr="00F90A24">
        <w:rPr>
          <w:b/>
          <w:lang w:val="ru-RU"/>
        </w:rPr>
        <w:t>’</w:t>
      </w:r>
      <w:r w:rsidRPr="00F90A24">
        <w:rPr>
          <w:b/>
        </w:rPr>
        <w:t>єктів соціальної та інженерно-транспортної</w:t>
      </w:r>
      <w:r w:rsidRPr="00F90A24">
        <w:t xml:space="preserve"> </w:t>
      </w:r>
      <w:r>
        <w:rPr>
          <w:b/>
        </w:rPr>
        <w:t>інфраструктури  на 2025</w:t>
      </w:r>
      <w:r w:rsidRPr="00F90A24">
        <w:rPr>
          <w:b/>
        </w:rPr>
        <w:t xml:space="preserve"> рік</w:t>
      </w:r>
      <w:r>
        <w:rPr>
          <w:b/>
        </w:rPr>
        <w:t>» за 9-ть місяців 2025 року</w:t>
      </w:r>
      <w:r w:rsidRPr="00F90A24">
        <w:t xml:space="preserve"> </w:t>
      </w:r>
    </w:p>
    <w:p w:rsidR="00FC062B" w:rsidRPr="00F90A24" w:rsidRDefault="00FC062B" w:rsidP="00332E56">
      <w:pPr>
        <w:pStyle w:val="rvps14"/>
        <w:spacing w:before="0" w:beforeAutospacing="0" w:after="0" w:afterAutospacing="0"/>
        <w:jc w:val="center"/>
      </w:pPr>
      <w:r w:rsidRPr="00F90A24">
        <w:t xml:space="preserve">  </w:t>
      </w:r>
    </w:p>
    <w:p w:rsidR="00FC062B" w:rsidRPr="005C45F1" w:rsidRDefault="00FC062B" w:rsidP="0091433E">
      <w:pPr>
        <w:ind w:right="38" w:firstLine="600"/>
        <w:jc w:val="both"/>
      </w:pPr>
      <w:r w:rsidRPr="005C45F1">
        <w:t>При підготовці звіту було використано матеріали  про виконання  Плану заходів щодо створення безперешкодного життєвого середовища для осіб з інвалідністю та інших мало</w:t>
      </w:r>
      <w:r>
        <w:t>мобільних груп населення на</w:t>
      </w:r>
      <w:r w:rsidRPr="005C45F1">
        <w:t xml:space="preserve"> 2025 рік, які надали до управління містобудування та архітектури департаменту розвитку громад та територій, дорожнього, житлового-комунального господарства, містобудування та архітектури облдержадміністрації:  департаменту економічного розвитку, промисловості та інфраструктури облдержадміністрації; департаменту з питань цивільного захисту, оборонної роботи та взаємодії з правоохоронними органами облдержадміністрації; департаменту соціальної політики облдержадміністрації; департаменту міжнародного співробітництва та євроінтеграції громад облдержадміністрації; департаменту освіти та науки облдержадміністрації; управління інформаційної діяльності та комуніацій з громадськістю облдержадміністрації;  управління спорту та молодіжної політики облдержадміністрації; Івано-Франківського обласного центру зайнятості; Івано-Франківського регіонального центру підвищення кваліфікації; Івано-Франківського обласного відділення фонду соціального захисту осіб з інвалідністю; Івано-Франківської філії ДП «Укрдержекспертиза»; Івано-Франківського відділу надання безоплатної правничої допомоги Південно-Західного управління надання безоплатної правничої допомоги Західного міжрегіонального центру з надання безоплатної правничої допомоги та виконавчих органів самоврядування Івано-Франківської області. </w:t>
      </w:r>
    </w:p>
    <w:p w:rsidR="00FC062B" w:rsidRDefault="00FC062B" w:rsidP="0091433E">
      <w:pPr>
        <w:ind w:right="38" w:firstLine="600"/>
        <w:jc w:val="both"/>
      </w:pPr>
      <w:r w:rsidRPr="005C45F1">
        <w:t>Окрім того, упродовж звітного періоду на офіційних вебсайтах районних державних адміністрацій та органів місцевого самоврядування проводилось висвітлення інформації щодо питань осіб з інвалідністю та заходів, які здійснювались  в напрямку створення сприятливих умов життєдіяльності для осіб з інвалідністю.</w:t>
      </w:r>
    </w:p>
    <w:p w:rsidR="00FC062B" w:rsidRPr="005C45F1" w:rsidRDefault="00FC062B" w:rsidP="0091433E">
      <w:pPr>
        <w:ind w:right="38" w:firstLine="600"/>
        <w:jc w:val="both"/>
      </w:pPr>
    </w:p>
    <w:p w:rsidR="00FC062B" w:rsidRPr="005C45F1" w:rsidRDefault="00FC062B" w:rsidP="00332E56">
      <w:pPr>
        <w:pStyle w:val="rvps14"/>
        <w:spacing w:before="0" w:beforeAutospacing="0" w:after="0" w:afterAutospacing="0"/>
        <w:jc w:val="center"/>
      </w:pPr>
      <w:r w:rsidRPr="005C45F1">
        <w:t xml:space="preserve">     </w:t>
      </w:r>
    </w:p>
    <w:tbl>
      <w:tblPr>
        <w:tblW w:w="14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62"/>
        <w:gridCol w:w="9080"/>
      </w:tblGrid>
      <w:tr w:rsidR="00FC062B" w:rsidTr="00DD6D55">
        <w:tc>
          <w:tcPr>
            <w:tcW w:w="5762" w:type="dxa"/>
          </w:tcPr>
          <w:p w:rsidR="00FC062B" w:rsidRPr="00424D5D" w:rsidRDefault="00FC062B" w:rsidP="00424D5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4D5D">
              <w:rPr>
                <w:b/>
              </w:rPr>
              <w:t>Назва заходу</w:t>
            </w:r>
          </w:p>
        </w:tc>
        <w:tc>
          <w:tcPr>
            <w:tcW w:w="9080" w:type="dxa"/>
          </w:tcPr>
          <w:p w:rsidR="00FC062B" w:rsidRPr="00424D5D" w:rsidRDefault="00FC062B" w:rsidP="00424D5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4D5D">
              <w:rPr>
                <w:b/>
              </w:rPr>
              <w:t>Виконання</w:t>
            </w:r>
          </w:p>
        </w:tc>
      </w:tr>
      <w:tr w:rsidR="00FC062B" w:rsidRPr="00EE2724" w:rsidTr="00DD6D55">
        <w:tc>
          <w:tcPr>
            <w:tcW w:w="5762" w:type="dxa"/>
          </w:tcPr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lang w:val="uk-UA"/>
              </w:rPr>
            </w:pP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 питання доступності осіб з інвалідністю та інших маломобільних груп населення до захисних споруд, споруд подвійного призначення та найпростіших укриттів цивільного захисту</w:t>
            </w:r>
          </w:p>
        </w:tc>
        <w:tc>
          <w:tcPr>
            <w:tcW w:w="9080" w:type="dxa"/>
          </w:tcPr>
          <w:p w:rsidR="00FC062B" w:rsidRPr="00EE2724" w:rsidRDefault="00FC062B" w:rsidP="00424D5D">
            <w:pPr>
              <w:widowControl w:val="0"/>
              <w:autoSpaceDE w:val="0"/>
              <w:autoSpaceDN w:val="0"/>
              <w:adjustRightInd w:val="0"/>
              <w:ind w:firstLine="268"/>
              <w:jc w:val="both"/>
              <w:rPr>
                <w:szCs w:val="28"/>
              </w:rPr>
            </w:pPr>
            <w:r w:rsidRPr="00EE2724">
              <w:rPr>
                <w:szCs w:val="28"/>
              </w:rPr>
              <w:t>Працівниками головного управління ДСНС в Івано-Франківські області з</w:t>
            </w:r>
            <w:r>
              <w:rPr>
                <w:szCs w:val="28"/>
              </w:rPr>
              <w:t xml:space="preserve"> початку року здійснено 1407 ком</w:t>
            </w:r>
            <w:r w:rsidRPr="00EE2724">
              <w:rPr>
                <w:szCs w:val="28"/>
              </w:rPr>
              <w:t>плексних обстежень об</w:t>
            </w:r>
            <w:r w:rsidRPr="00EE2724">
              <w:rPr>
                <w:szCs w:val="28"/>
                <w:lang w:val="en-US"/>
              </w:rPr>
              <w:t>’</w:t>
            </w:r>
            <w:r w:rsidRPr="00EE2724">
              <w:rPr>
                <w:szCs w:val="28"/>
              </w:rPr>
              <w:t>єктів фонду захисних споруд цивільного захисту на відповідність вимогам чинного законодавства України. На даний час, через обмежені фінансові можливості, значна частина власників (балансоутримувачів) об</w:t>
            </w:r>
            <w:r w:rsidRPr="00EE2724">
              <w:rPr>
                <w:szCs w:val="28"/>
                <w:lang w:val="en-US"/>
              </w:rPr>
              <w:t>’</w:t>
            </w:r>
            <w:r w:rsidRPr="00EE2724">
              <w:rPr>
                <w:szCs w:val="28"/>
              </w:rPr>
              <w:t>єктів фонду захисних споруд, 191 об</w:t>
            </w:r>
            <w:r w:rsidRPr="00EE2724">
              <w:rPr>
                <w:szCs w:val="28"/>
                <w:lang w:val="en-US"/>
              </w:rPr>
              <w:t>’</w:t>
            </w:r>
            <w:r w:rsidRPr="00EE2724">
              <w:rPr>
                <w:szCs w:val="28"/>
              </w:rPr>
              <w:t>єкт</w:t>
            </w:r>
            <w:r w:rsidRPr="00EE2724">
              <w:rPr>
                <w:szCs w:val="28"/>
                <w:lang w:val="en-US"/>
              </w:rPr>
              <w:t xml:space="preserve"> </w:t>
            </w:r>
            <w:r w:rsidRPr="00EE2724">
              <w:rPr>
                <w:szCs w:val="28"/>
              </w:rPr>
              <w:t xml:space="preserve"> фонду захисних споруд цивільного захисту, облаштовано допоміжними технічними засобами та механізмами, що становить близько 9 відсотків від загального фонду захисних споруд цивільного захисту. </w:t>
            </w:r>
          </w:p>
          <w:p w:rsidR="00FC062B" w:rsidRPr="00EE2724" w:rsidRDefault="00FC062B" w:rsidP="00424D5D">
            <w:pPr>
              <w:widowControl w:val="0"/>
              <w:autoSpaceDE w:val="0"/>
              <w:autoSpaceDN w:val="0"/>
              <w:adjustRightInd w:val="0"/>
              <w:ind w:firstLine="268"/>
              <w:jc w:val="both"/>
            </w:pPr>
            <w:r w:rsidRPr="00EE2724">
              <w:t>Упродовж звітного періоду органами місцевого самоврядування розроблено і затверджено плани облаштування об’єктів фонду захисних споруд цивільного захисту, засобами, що забезпечують безперешкодний доступ</w:t>
            </w:r>
            <w:r>
              <w:t xml:space="preserve"> для</w:t>
            </w:r>
            <w:r w:rsidRPr="00EE2724">
              <w:t xml:space="preserve"> маломобільних груп населення, зокрема осіб з інвалідністю  та вживаються заходи з облаштування захисних споруд, найпростіших укриттів засобами безбар’єрності. Окрім того, проводилась робота щодо розроблення (внесення змін) місцевих програм цивільного захисту щодо забезпечення доступу маломобільних груп населення до об</w:t>
            </w:r>
            <w:r w:rsidRPr="00EE2724">
              <w:rPr>
                <w:lang w:val="en-US"/>
              </w:rPr>
              <w:t>’</w:t>
            </w:r>
            <w:r>
              <w:t>єктів фонду захисних</w:t>
            </w:r>
            <w:r w:rsidRPr="00EE2724">
              <w:t xml:space="preserve"> споруд.</w:t>
            </w:r>
            <w:r w:rsidRPr="00EE2724">
              <w:rPr>
                <w:lang w:val="en-US"/>
              </w:rPr>
              <w:t xml:space="preserve"> </w:t>
            </w:r>
            <w:r w:rsidRPr="00EE2724">
              <w:t>Зазначена інформація розміщена на офіційному вебсайті облдержадміністрації  в розділі «Про важливе» - рубрика «Безбар</w:t>
            </w:r>
            <w:r w:rsidRPr="00EE2724">
              <w:rPr>
                <w:lang w:val="en-US"/>
              </w:rPr>
              <w:t>’</w:t>
            </w:r>
            <w:r w:rsidRPr="00EE2724">
              <w:t>єрніс</w:t>
            </w:r>
            <w:r w:rsidRPr="00EE2724">
              <w:rPr>
                <w:lang w:val="en-US"/>
              </w:rPr>
              <w:t>m</w:t>
            </w:r>
            <w:r w:rsidRPr="00EE2724">
              <w:t>ь» - підрубрика «Виконання обласного плану заходів на 2025-2026 роки з реалізації в Івано-Франківській області Національної статегії із створення безбар</w:t>
            </w:r>
            <w:r w:rsidRPr="00EE2724">
              <w:rPr>
                <w:lang w:val="en-US"/>
              </w:rPr>
              <w:t>’</w:t>
            </w:r>
            <w:r w:rsidRPr="00EE2724">
              <w:t>єрного простору в Україні на період до 2030 року».</w:t>
            </w:r>
          </w:p>
          <w:p w:rsidR="00FC062B" w:rsidRPr="00EE2724" w:rsidRDefault="00FC062B" w:rsidP="00424D5D">
            <w:pPr>
              <w:widowControl w:val="0"/>
              <w:autoSpaceDE w:val="0"/>
              <w:autoSpaceDN w:val="0"/>
              <w:adjustRightInd w:val="0"/>
              <w:ind w:firstLine="268"/>
              <w:jc w:val="both"/>
            </w:pPr>
          </w:p>
        </w:tc>
      </w:tr>
      <w:tr w:rsidR="00FC062B" w:rsidTr="00DD6D55">
        <w:trPr>
          <w:trHeight w:val="1800"/>
        </w:trPr>
        <w:tc>
          <w:tcPr>
            <w:tcW w:w="5762" w:type="dxa"/>
          </w:tcPr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висвітлення інформації для підвищення рівня обізнаності населення щодо  питань інвалідності та заходів, які здійснюються на регіональному та місцевому рівнях в напрямку створення сприятливих умов життєдіяльності для осіб з інвалідністю.</w:t>
            </w: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80" w:type="dxa"/>
            <w:vMerge w:val="restart"/>
          </w:tcPr>
          <w:p w:rsidR="00FC062B" w:rsidRPr="000B05A3" w:rsidRDefault="00FC062B" w:rsidP="0023073B">
            <w:pPr>
              <w:ind w:firstLine="402"/>
              <w:jc w:val="both"/>
            </w:pPr>
            <w:r w:rsidRPr="000B05A3">
              <w:t>На офіційному сайті Івано-Франківської облдержадміністрації створено тег «Безбар’єрність», за яким можна знайти інформацію щодо підвищення рівня обізнаності населення щодо питань інвалідності та заходів, які реалізуються на державному, регіональному та місцевому рівнях (https://surl.li/vhsgiz). З січня по вересень 2025 року загальна кількість таких інформацій – 120. Також на сайті функціонує однойменна рубрика, в якій можна знайти корисну інформацію щодо зазначеної вище теми, зокрема про довідник безбар’єрності, амбасадорів безбар’єрності області і т.д. (https://surl.li/uermgo).</w:t>
            </w:r>
          </w:p>
          <w:p w:rsidR="00FC062B" w:rsidRPr="000B05A3" w:rsidRDefault="00FC062B" w:rsidP="0023073B">
            <w:pPr>
              <w:ind w:firstLine="402"/>
              <w:jc w:val="both"/>
              <w:rPr>
                <w:bCs/>
              </w:rPr>
            </w:pPr>
            <w:r w:rsidRPr="000B05A3">
              <w:rPr>
                <w:bCs/>
              </w:rPr>
              <w:t xml:space="preserve">На території області забезпечується проведення Всеукраїнської кампанії соціальних змін «Коли можеш» в межах реалізації Національної стратегії зі створення безбар'єрного простору та ініціативи першої леді України Олени Зеленської «Без бар'єрів». Зокрема, на офіційному сайті облдержадміністрації та на її сторінках в </w:t>
            </w:r>
            <w:r w:rsidRPr="000B05A3">
              <w:rPr>
                <w:bCs/>
                <w:lang w:val="en-US"/>
              </w:rPr>
              <w:t>Facebook</w:t>
            </w:r>
            <w:r w:rsidRPr="000B05A3">
              <w:rPr>
                <w:bCs/>
              </w:rPr>
              <w:t xml:space="preserve"> і </w:t>
            </w:r>
            <w:r w:rsidRPr="000B05A3">
              <w:rPr>
                <w:bCs/>
                <w:lang w:val="en-US"/>
              </w:rPr>
              <w:t>Telegram</w:t>
            </w:r>
            <w:r w:rsidRPr="000B05A3">
              <w:rPr>
                <w:bCs/>
              </w:rPr>
              <w:t xml:space="preserve">  розміщуються інформації з використанням  спільних типових рішень щодо кольорів та дизайну оформлення комунікації в межах кампанії. З прикладами такого використання можна ознайомитися за посиланнями – https://surl.li/auozcs, https://surl.li/ndjpka, https://surl.lu/umynux, https://surl.li/dlyzir, https://surl.li/sqgjgi, https://surl.li/fvmamf, https://surl.li/muunry.</w:t>
            </w:r>
          </w:p>
          <w:p w:rsidR="00FC062B" w:rsidRPr="000B05A3" w:rsidRDefault="00FC062B" w:rsidP="0023073B">
            <w:pPr>
              <w:ind w:firstLine="402"/>
              <w:jc w:val="both"/>
              <w:rPr>
                <w:bCs/>
              </w:rPr>
            </w:pPr>
            <w:r w:rsidRPr="000B05A3">
              <w:rPr>
                <w:bCs/>
              </w:rPr>
              <w:t xml:space="preserve">Серед громад області поширено інформаційні матеріали кампанії, зокрема плакати формату А3. Фотозвіт доступний за посиланням – https://fex.net/uk/s/slxzc1r. Також для масштабування кампанії в соціальних мережах використовується хештег </w:t>
            </w:r>
            <w:r w:rsidRPr="000B05A3">
              <w:rPr>
                <w:bdr w:val="none" w:sz="0" w:space="0" w:color="auto" w:frame="1"/>
                <w:shd w:val="clear" w:color="auto" w:fill="FFFFFF"/>
              </w:rPr>
              <w:t>#безбарєрне_прикарпаття</w:t>
            </w:r>
            <w:r w:rsidRPr="000B05A3">
              <w:rPr>
                <w:bCs/>
              </w:rPr>
              <w:t>.</w:t>
            </w:r>
          </w:p>
          <w:p w:rsidR="00FC062B" w:rsidRDefault="00FC062B" w:rsidP="00424D5D">
            <w:pPr>
              <w:ind w:firstLine="279"/>
              <w:jc w:val="both"/>
              <w:rPr>
                <w:szCs w:val="28"/>
              </w:rPr>
            </w:pPr>
            <w:r w:rsidRPr="000B05A3">
              <w:rPr>
                <w:szCs w:val="28"/>
              </w:rPr>
              <w:t>На офіційних вебсайтах місцевих державних адміністрацій, органів місцевого самоврядування, у засобах масової інформації постійно висвітлювались питання для  осіб з інвалідністю та інформація про заходи, спрямовані на забезпечення дотримання прав людей з інвалідністю.</w:t>
            </w:r>
          </w:p>
          <w:p w:rsidR="00FC062B" w:rsidRDefault="00FC062B" w:rsidP="00424D5D">
            <w:pPr>
              <w:ind w:firstLine="279"/>
              <w:jc w:val="both"/>
              <w:rPr>
                <w:szCs w:val="28"/>
              </w:rPr>
            </w:pPr>
          </w:p>
          <w:p w:rsidR="00FC062B" w:rsidRDefault="00FC062B" w:rsidP="00424D5D">
            <w:pPr>
              <w:ind w:firstLine="279"/>
              <w:jc w:val="both"/>
              <w:rPr>
                <w:szCs w:val="28"/>
              </w:rPr>
            </w:pP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</w:rPr>
            </w:pPr>
          </w:p>
          <w:p w:rsidR="00FC062B" w:rsidRDefault="00FC062B" w:rsidP="00424D5D">
            <w:pPr>
              <w:ind w:firstLine="279"/>
              <w:jc w:val="both"/>
              <w:rPr>
                <w:szCs w:val="28"/>
                <w:u w:val="single"/>
              </w:rPr>
            </w:pPr>
            <w:r w:rsidRPr="000B05A3">
              <w:rPr>
                <w:szCs w:val="28"/>
                <w:u w:val="single"/>
              </w:rPr>
              <w:t>Проведено роботу щодо покращення офіційних вебсайтів в органах місцевого самоврядування:</w:t>
            </w: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  <w:u w:val="single"/>
              </w:rPr>
            </w:pP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</w:rPr>
            </w:pPr>
            <w:r w:rsidRPr="000B05A3">
              <w:rPr>
                <w:szCs w:val="28"/>
              </w:rPr>
              <w:t>У Брошнів-Осадській селищній раді встановлено спеціальну версію для осіб з порущенням зору, що дає можливість забезпечити доступність до інформаці;</w:t>
            </w: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</w:rPr>
            </w:pPr>
            <w:r w:rsidRPr="000B05A3">
              <w:rPr>
                <w:szCs w:val="28"/>
              </w:rPr>
              <w:t xml:space="preserve"> У Солотвинській селищній територіальній грома</w:t>
            </w:r>
            <w:r>
              <w:rPr>
                <w:szCs w:val="28"/>
              </w:rPr>
              <w:t>д</w:t>
            </w:r>
            <w:r w:rsidRPr="000B05A3">
              <w:rPr>
                <w:szCs w:val="28"/>
              </w:rPr>
              <w:t>і покращені роботи у вкладці «Доступність»:</w:t>
            </w: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</w:rPr>
            </w:pPr>
            <w:r w:rsidRPr="000B05A3">
              <w:rPr>
                <w:szCs w:val="28"/>
              </w:rPr>
              <w:t>- безпечний режим при епілепсії (пом</w:t>
            </w:r>
            <w:r w:rsidRPr="000B05A3">
              <w:rPr>
                <w:szCs w:val="28"/>
                <w:lang w:val="en-US"/>
              </w:rPr>
              <w:t>’</w:t>
            </w:r>
            <w:r w:rsidRPr="000B05A3">
              <w:rPr>
                <w:szCs w:val="28"/>
              </w:rPr>
              <w:t>якшує колір і усуває моргання);</w:t>
            </w: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</w:rPr>
            </w:pPr>
            <w:r w:rsidRPr="000B05A3">
              <w:rPr>
                <w:szCs w:val="28"/>
              </w:rPr>
              <w:t>- режим для людей із порушенням зору (покращує візуальний ефект вебсайту)</w:t>
            </w:r>
            <w:r>
              <w:rPr>
                <w:szCs w:val="28"/>
              </w:rPr>
              <w:t>;</w:t>
            </w: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</w:rPr>
            </w:pPr>
            <w:r w:rsidRPr="000B05A3">
              <w:rPr>
                <w:szCs w:val="28"/>
              </w:rPr>
              <w:t>-режим когнітивної недостатності (допомагає зосередитись на конкретному контенті);</w:t>
            </w:r>
          </w:p>
          <w:p w:rsidR="00FC062B" w:rsidRPr="000B05A3" w:rsidRDefault="00FC062B" w:rsidP="00424D5D">
            <w:pPr>
              <w:ind w:firstLine="279"/>
              <w:jc w:val="both"/>
              <w:rPr>
                <w:szCs w:val="28"/>
              </w:rPr>
            </w:pPr>
            <w:r w:rsidRPr="000B05A3">
              <w:rPr>
                <w:szCs w:val="28"/>
              </w:rPr>
              <w:t xml:space="preserve">- дружній режим </w:t>
            </w:r>
            <w:r w:rsidRPr="000B05A3">
              <w:rPr>
                <w:szCs w:val="28"/>
                <w:lang w:val="en-US"/>
              </w:rPr>
              <w:t>ADHD</w:t>
            </w:r>
            <w:r w:rsidRPr="000B05A3">
              <w:rPr>
                <w:szCs w:val="28"/>
              </w:rPr>
              <w:t xml:space="preserve"> (зменшує відволікання та покращує концентрацію);</w:t>
            </w:r>
          </w:p>
          <w:p w:rsidR="00FC062B" w:rsidRPr="000B05A3" w:rsidRDefault="00FC062B" w:rsidP="00424D5D">
            <w:pPr>
              <w:ind w:firstLine="279"/>
              <w:jc w:val="both"/>
            </w:pPr>
            <w:r w:rsidRPr="000B05A3">
              <w:rPr>
                <w:szCs w:val="28"/>
              </w:rPr>
              <w:t>- режим сліпоти (дозволяє використовувати сайт за допомогою програми зчитування з екрану).</w:t>
            </w:r>
          </w:p>
          <w:p w:rsidR="00FC062B" w:rsidRPr="000B05A3" w:rsidRDefault="00FC062B" w:rsidP="00B65CE9">
            <w:pPr>
              <w:ind w:firstLine="603"/>
              <w:jc w:val="both"/>
              <w:rPr>
                <w:sz w:val="28"/>
                <w:szCs w:val="28"/>
                <w:lang w:eastAsia="uk-UA"/>
              </w:rPr>
            </w:pPr>
            <w:r w:rsidRPr="000B05A3">
              <w:rPr>
                <w:lang w:eastAsia="uk-UA"/>
              </w:rPr>
              <w:t xml:space="preserve">Вебсайт Калуської міської ради оснащений спеціальною програмою, яка пристосована для користування інформаційним ресурсом людям із порушенням зору </w:t>
            </w:r>
            <w:hyperlink r:id="rId7" w:history="1">
              <w:r w:rsidRPr="000B05A3">
                <w:rPr>
                  <w:color w:val="0000FF"/>
                  <w:u w:val="single"/>
                  <w:lang w:eastAsia="uk-UA"/>
                </w:rPr>
                <w:t>https://kalushcity.gov.ua/</w:t>
              </w:r>
            </w:hyperlink>
            <w:r w:rsidRPr="000B05A3">
              <w:rPr>
                <w:lang w:eastAsia="uk-UA"/>
              </w:rPr>
              <w:t xml:space="preserve"> .</w:t>
            </w:r>
          </w:p>
          <w:p w:rsidR="00FC062B" w:rsidRPr="000B05A3" w:rsidRDefault="00FC062B" w:rsidP="00B65CE9">
            <w:pPr>
              <w:ind w:firstLine="603"/>
              <w:jc w:val="both"/>
              <w:rPr>
                <w:lang w:eastAsia="uk-UA"/>
              </w:rPr>
            </w:pPr>
            <w:r w:rsidRPr="000B05A3">
              <w:rPr>
                <w:lang w:eastAsia="uk-UA"/>
              </w:rPr>
              <w:t>У новій версії офіційного сайту Калуської міської ради продовжує діяти спеціальна версія для осіб із порушенням зору, що дає можливість людям із частковою втратою зору бути в курсі головних новин (подій). Вказана версія дозволяє знайти всю необхідну довідкову інформацію, а також люди з порушенням зору можуть подати звернення (в електронному вигляді) до виконавчих органів міської ради, депутатів, а також керівників структурних підрозділів.</w:t>
            </w:r>
          </w:p>
          <w:p w:rsidR="00FC062B" w:rsidRPr="000B05A3" w:rsidRDefault="00FC062B" w:rsidP="00B65CE9">
            <w:pPr>
              <w:spacing w:line="276" w:lineRule="auto"/>
              <w:ind w:firstLine="603"/>
              <w:jc w:val="both"/>
            </w:pPr>
            <w:r w:rsidRPr="000B05A3">
              <w:rPr>
                <w:lang w:eastAsia="uk-UA"/>
              </w:rPr>
              <w:t>Проводиться відповідна робота щодо покращення роботи офіційного вебсайту Вигодської селищної ради (</w:t>
            </w:r>
            <w:r w:rsidRPr="000B05A3">
              <w:rPr>
                <w:lang w:val="en-US" w:eastAsia="uk-UA"/>
              </w:rPr>
              <w:t>htths://www.vyhoda.info).</w:t>
            </w:r>
          </w:p>
          <w:p w:rsidR="00FC062B" w:rsidRPr="000B05A3" w:rsidRDefault="00FC062B" w:rsidP="00B65CE9">
            <w:pPr>
              <w:spacing w:line="276" w:lineRule="auto"/>
              <w:ind w:firstLine="603"/>
              <w:jc w:val="both"/>
              <w:rPr>
                <w:lang w:eastAsia="uk-UA"/>
              </w:rPr>
            </w:pPr>
            <w:r w:rsidRPr="000B05A3">
              <w:rPr>
                <w:color w:val="000000"/>
                <w:shd w:val="clear" w:color="auto" w:fill="FFFFFF"/>
              </w:rPr>
              <w:t>Офіційний вебсайт Бурштинської територіальної громади частково приведено у відповідність до стандартів доступності WCAG 2.1 (Web Content Accessibility Guidelines 2.1) — це набір стандартів та рекомендацій для покращення доступності веб-контенту), що є важливим кроком для забезпечення комфортного користування ресурсом для всіх відвідувачів, включно людям з інвалідністю. Вже зараз покращено зручність навігації, контрастність елементів і доступність контенту. Це не лише підвищує рівень інклюзивності, а й робить сайт більш сучасним і зручним для всіх користувачів.</w:t>
            </w:r>
          </w:p>
          <w:p w:rsidR="00FC062B" w:rsidRPr="00424D5D" w:rsidRDefault="00FC062B" w:rsidP="00424D5D">
            <w:pPr>
              <w:widowControl w:val="0"/>
              <w:autoSpaceDE w:val="0"/>
              <w:autoSpaceDN w:val="0"/>
              <w:adjustRightInd w:val="0"/>
              <w:ind w:firstLine="279"/>
              <w:jc w:val="both"/>
              <w:rPr>
                <w:szCs w:val="28"/>
              </w:rPr>
            </w:pPr>
          </w:p>
        </w:tc>
      </w:tr>
      <w:tr w:rsidR="00FC062B" w:rsidTr="00DD6D55">
        <w:trPr>
          <w:trHeight w:val="5640"/>
        </w:trPr>
        <w:tc>
          <w:tcPr>
            <w:tcW w:w="5762" w:type="dxa"/>
          </w:tcPr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інформаційної роботи щодо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покращення роботи офіційних </w:t>
            </w: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сайтів органів влади для користувачів із порушенням  зору та слуху (зміна шрифту та кольорової гами тощо).</w:t>
            </w:r>
          </w:p>
        </w:tc>
        <w:tc>
          <w:tcPr>
            <w:tcW w:w="9080" w:type="dxa"/>
            <w:vMerge/>
          </w:tcPr>
          <w:p w:rsidR="00FC062B" w:rsidRPr="00424D5D" w:rsidRDefault="00FC062B" w:rsidP="00424D5D">
            <w:pPr>
              <w:ind w:firstLine="279"/>
              <w:jc w:val="both"/>
              <w:rPr>
                <w:szCs w:val="28"/>
              </w:rPr>
            </w:pPr>
          </w:p>
        </w:tc>
      </w:tr>
      <w:tr w:rsidR="00FC062B" w:rsidTr="00DD6D55">
        <w:trPr>
          <w:trHeight w:val="31680"/>
        </w:trPr>
        <w:tc>
          <w:tcPr>
            <w:tcW w:w="5762" w:type="dxa"/>
          </w:tcPr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фактичного забезпечення доступності для осіб з інвалідністю та інших маломобільних груп населення:</w:t>
            </w: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4D5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кількості молодіжних центрів, які є доступними для всіх категорій молоді, зокрема осіб з інвалідністю;</w:t>
            </w: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щодо наявної спортивної інфраструктури, визначення її технічного стану;</w:t>
            </w: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Pr="00F77C07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з</w:t>
            </w:r>
            <w:r w:rsidRPr="009B59E5">
              <w:rPr>
                <w:rFonts w:ascii="Times New Roman" w:hAnsi="Times New Roman" w:cs="Times New Roman"/>
                <w:sz w:val="24"/>
                <w:szCs w:val="24"/>
              </w:rPr>
              <w:t>абезпечення створення сприятливих умов для широкого залучення осіб з інвалідністю до спартакіад різних вікових груп та фізичної підготовки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ктів туристичної сфери (готелів, музеїв, історичних пам</w:t>
            </w:r>
            <w:r w:rsidRPr="00424D5D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24D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яток тощо).</w:t>
            </w: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C062B" w:rsidRPr="00424D5D" w:rsidRDefault="00FC062B" w:rsidP="00424D5D">
            <w:pPr>
              <w:pStyle w:val="normal0"/>
              <w:spacing w:before="60" w:line="223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80" w:type="dxa"/>
          </w:tcPr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В</w:t>
            </w:r>
            <w:r w:rsidRPr="00397A24">
              <w:t xml:space="preserve"> </w:t>
            </w:r>
            <w:r>
              <w:t>області функціонує чотири молодіжних центри комунальної власності, які забезпечують умови для діяльності та розвитку молоді, зокрема осіб з інвалідністю: П</w:t>
            </w:r>
            <w:r>
              <w:rPr>
                <w:lang w:val="en-US"/>
              </w:rPr>
              <w:t>’</w:t>
            </w:r>
            <w:r>
              <w:t>ядицький молодіжний центр, Івано-Франківський молодіжний центр «Рух», Молодіжний центр Долинської міської ради «Хижка» та Молодіжний центр «Крок за кроком» Дубовецької сільської ради. У центрах забезпечено фізичну доступність (наявність пандусів, інформаційних табличок із шрифтом Брайля) та створено рівні умови участі для осіб обох статей.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На даний час 99 відсотків існуючих закладів фізичної культури і спорту, що знаходиться у комунальній власності, обладнані пандусами для забезпечення безперешкодного доступу для маломобільних груп населення відповідно до Державних будівельних норм України.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Для заняття фізичною культурою у місцях масового відпочинку на даний час в Івано-Франківській області облаштовано та функціонує 17 активних парків, де працюють 17 координаторів.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Впродовж 10 місяців 2025 року на зазначених локаціях в області проведено понад 2000 спортивно-оздоровчих заходів, в яких  брали участь понад 30 тисяч учасників (в тому числі внутрішньо-переміщені особи та військові).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Всі спортивні споруди на території Івано-Франківської області забезпечені безперешкодним доступом для осіб з інвалідністю та інших маломобільних груп населення.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Забезпечено безперешкодний доступ ветеранів війни та членів їх сімей до об</w:t>
            </w:r>
            <w:r>
              <w:rPr>
                <w:lang w:val="en-US"/>
              </w:rPr>
              <w:t>’</w:t>
            </w:r>
            <w:r>
              <w:t>єктів спортивної реабілітації з урахуванням вимог доступності для осіб з інвалідністю.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Для формування ефективної системи мотивації ветеранів війни та членів їх сімей до активного способу життя в місті Калуш (плавальний басейн «Посейдон», стадіон «Хімік») на безоплатній основі створені умови для відвідування фізкультурно-оздоровчих занять з плавання та атлетичної гімнастики.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В місті Івано-Франківську функціонує Центр комплексної реабілітації «Донбас-Прикарпаття», в якому учасники бойових дій можуть отримати послуги з соціальної, психологічної, фізкультурно-спортивної реабілітації, медичного обстеження та медичної реабілітації.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 xml:space="preserve">Відповідно до обласної цільової соціальної програми розвитку фізичної культури і спорту на 2022 – 2026 роки, затвердженої рішенням обласної ради від 12.11.2021 </w:t>
            </w:r>
            <w:r>
              <w:br/>
              <w:t>№ 284-10/2021, Єдиного календарного плану спортивних змагань та навчально-тренувальних зборів області на 2025 рік, затвердженого наказом управління спорту та молодіжної політики облдержадміністрації від 02.01.2025 № 1, забезпечено проведення 12 фізкультурно-спортивних змагань та інших реабілітаційних заходів для ветеранів війни, членів їх сімей, сімей загиблих (померлих) ветеранів війни в яких брали участь понад 1500 осіб.</w:t>
            </w:r>
          </w:p>
          <w:p w:rsidR="00FC062B" w:rsidRDefault="00FC062B" w:rsidP="00A7076D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>Упродовж звітного періоду 99 учасників брали участь у 5 обласних змаганнях та 29 учасників у 7 всеукраїнських змаганнях у рамках спартакіади «Повір у себе».</w:t>
            </w:r>
          </w:p>
          <w:p w:rsidR="00FC062B" w:rsidRPr="00DB6617" w:rsidRDefault="00FC062B" w:rsidP="00573571">
            <w:pPr>
              <w:autoSpaceDE w:val="0"/>
              <w:autoSpaceDN w:val="0"/>
              <w:adjustRightInd w:val="0"/>
              <w:ind w:firstLine="469"/>
              <w:jc w:val="both"/>
            </w:pPr>
            <w:r>
              <w:t xml:space="preserve">Окрім того,  </w:t>
            </w:r>
            <w:r w:rsidRPr="00DB6617">
              <w:t>управління спору Коломийської міської ради завдяки грантовим програмам відкрило на базі спортивного залу Комплексної дитячо-юнацької спортивної школи тренажерний зал, де проводяться заняття для осіб з інвалідністю внаслідок війни. Заняття проводить тренер-реабілітолог, ветеран війни Юрій Фурик.</w:t>
            </w:r>
          </w:p>
          <w:p w:rsidR="00FC062B" w:rsidRPr="00DB6617" w:rsidRDefault="00FC062B" w:rsidP="00573571">
            <w:pPr>
              <w:autoSpaceDE w:val="0"/>
              <w:autoSpaceDN w:val="0"/>
              <w:adjustRightInd w:val="0"/>
              <w:ind w:firstLine="469"/>
              <w:jc w:val="both"/>
            </w:pPr>
            <w:r w:rsidRPr="00DB6617">
              <w:t>У рамках учнівських спортивних ігор громади</w:t>
            </w:r>
            <w:r>
              <w:t>,</w:t>
            </w:r>
            <w:r w:rsidRPr="00DB6617">
              <w:t xml:space="preserve"> серед закладів </w:t>
            </w:r>
            <w:r w:rsidRPr="00DB6617">
              <w:br/>
              <w:t>ЗСО Нижньоберезівської сільської ради 04.02.2025 року</w:t>
            </w:r>
            <w:r>
              <w:t>,</w:t>
            </w:r>
            <w:r w:rsidRPr="00DB6617">
              <w:t xml:space="preserve"> проведено змагання «Командні шахи «Конвеєр» в честь</w:t>
            </w:r>
            <w:r>
              <w:t xml:space="preserve"> загиблого Героя Дмитра Ткачука</w:t>
            </w:r>
            <w:r w:rsidRPr="00DB6617">
              <w:t>, до яких було залучено осіб з інвалідністю.</w:t>
            </w:r>
          </w:p>
          <w:p w:rsidR="00FC062B" w:rsidRDefault="00FC062B" w:rsidP="00573571">
            <w:pPr>
              <w:ind w:firstLine="469"/>
              <w:jc w:val="both"/>
            </w:pPr>
            <w:r>
              <w:t xml:space="preserve">Поряд з цим, </w:t>
            </w:r>
            <w:r w:rsidRPr="002D7AB9">
              <w:t>Бурштинська територіальна громада забезпечила належні умови</w:t>
            </w:r>
            <w:r>
              <w:t xml:space="preserve"> </w:t>
            </w:r>
            <w:r w:rsidRPr="002D7AB9">
              <w:t>для проведення обласних спортивних ігор «Воля до життя», які відбулися</w:t>
            </w:r>
            <w:r>
              <w:t xml:space="preserve"> 26 вересня 2025 року у </w:t>
            </w:r>
            <w:r w:rsidRPr="002D7AB9">
              <w:t xml:space="preserve">м. Бурштин. У змаганнях </w:t>
            </w:r>
            <w:r>
              <w:t>брали</w:t>
            </w:r>
            <w:r w:rsidRPr="002D7AB9">
              <w:t xml:space="preserve"> участь ветерани війни, військовослужбовці, учасники бойових дій та особи з інвалідністю внаслідок війни.</w:t>
            </w:r>
          </w:p>
          <w:p w:rsidR="00FC062B" w:rsidRPr="002D7AB9" w:rsidRDefault="00FC062B" w:rsidP="00573571">
            <w:pPr>
              <w:ind w:firstLine="469"/>
              <w:jc w:val="both"/>
              <w:rPr>
                <w:rStyle w:val="Strong"/>
              </w:rPr>
            </w:pPr>
          </w:p>
          <w:p w:rsidR="00FC062B" w:rsidRPr="00F77C07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lang w:eastAsia="en-US"/>
              </w:rPr>
            </w:pPr>
            <w:r w:rsidRPr="00F77C07">
              <w:rPr>
                <w:u w:val="single"/>
                <w:lang w:eastAsia="en-US"/>
              </w:rPr>
              <w:t xml:space="preserve">Департаментом міжнародного співробітництва та євроінтеграції облдержадміністрації </w:t>
            </w:r>
            <w:r w:rsidRPr="00F77C07">
              <w:rPr>
                <w:lang w:eastAsia="en-US"/>
              </w:rPr>
              <w:t xml:space="preserve"> спільно з представником Урядового уповноваженого з прав осіб з інвалідністю в Івано-Франківській облдержадміністрації М. </w:t>
            </w:r>
            <w:r>
              <w:rPr>
                <w:lang w:eastAsia="en-US"/>
              </w:rPr>
              <w:t>Макаром упродовж 2025 року прове</w:t>
            </w:r>
            <w:r w:rsidRPr="00F77C07">
              <w:rPr>
                <w:lang w:eastAsia="en-US"/>
              </w:rPr>
              <w:t xml:space="preserve">дено серію моніторингових візитів з метою вивчення стану облаштування фізичної доступності туристичних об’єктів на транспортних магістралях у межах Калуського району. </w:t>
            </w:r>
          </w:p>
          <w:p w:rsidR="00FC062B" w:rsidRPr="00F77C07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ind w:firstLine="469"/>
              <w:jc w:val="both"/>
              <w:textAlignment w:val="baseline"/>
              <w:rPr>
                <w:lang w:eastAsia="en-US"/>
              </w:rPr>
            </w:pPr>
            <w:r w:rsidRPr="00F77C07">
              <w:rPr>
                <w:lang w:eastAsia="en-US"/>
              </w:rPr>
              <w:t>Станом на 01.10.2025 відбулись робочі поїздки у Брошнів-Осадську (22.07), Калуську (23.07), Рожнятівську (31.07), Вигодську (16.09), Долинську (18.09) територіальні громади.</w:t>
            </w:r>
          </w:p>
          <w:p w:rsidR="00FC062B" w:rsidRPr="00F77C07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F77C07">
              <w:rPr>
                <w:lang w:eastAsia="en-US"/>
              </w:rPr>
              <w:t>Безбар</w:t>
            </w:r>
            <w:r w:rsidRPr="00F77C07">
              <w:rPr>
                <w:lang w:val="en-US" w:eastAsia="en-US"/>
              </w:rPr>
              <w:t>’</w:t>
            </w:r>
            <w:r w:rsidRPr="00F77C07">
              <w:rPr>
                <w:lang w:eastAsia="en-US"/>
              </w:rPr>
              <w:t>єрними культурно-туристичними об’єктами визначені такі: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lang w:eastAsia="en-US"/>
              </w:rPr>
            </w:pPr>
            <w:r w:rsidRPr="002F0C3C">
              <w:rPr>
                <w:b/>
                <w:bCs/>
                <w:lang w:eastAsia="en-US"/>
              </w:rPr>
              <w:t>Брошнів-Осадська громада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1. Народний дім, с-ще Брошнів-Осада, вул. 22 Січня, 53.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 xml:space="preserve">2. Музей Героїв ОУП-УПА (у приміщенні Брошнів-Осадського ліцею), </w:t>
            </w:r>
            <w:r>
              <w:rPr>
                <w:lang w:eastAsia="en-US"/>
              </w:rPr>
              <w:br/>
            </w:r>
            <w:r w:rsidRPr="002F0C3C">
              <w:rPr>
                <w:lang w:eastAsia="en-US"/>
              </w:rPr>
              <w:t>с-ще Брошнів-Осада, вул. 22 Січня, 55.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lang w:eastAsia="en-US"/>
              </w:rPr>
            </w:pPr>
            <w:r w:rsidRPr="002F0C3C">
              <w:rPr>
                <w:b/>
                <w:bCs/>
                <w:lang w:eastAsia="en-US"/>
              </w:rPr>
              <w:t>Калуська громада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1. Мультикультурний центр, м. Калуш, вул. Шевченка, 11.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2. Костел Св. Валентина, м. Калуш, вул. Шевченка, 10.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3. Палац культури «Мінерал», м. Калуш, вул. Чорновола, 20.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4. Народний музей історії і трудової слави ТОВ «Карпатнафтохім» (ПК «Мінерал»).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5. Палац культури «Юність», м. Калуш, Олекси Тихого, 6.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6. Спортивно-оздоровчий комплекс «Акваторія», м. Калуш, вул. Дзвонарська, 4.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lang w:eastAsia="en-US"/>
              </w:rPr>
            </w:pPr>
            <w:r w:rsidRPr="002F0C3C">
              <w:rPr>
                <w:b/>
                <w:bCs/>
                <w:lang w:eastAsia="en-US"/>
              </w:rPr>
              <w:t>Рожнятівська громада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1. Краєзнавчий музей «Бойківщина», с-ще Рожнятів, вул. Січових Стрільців, 12/1.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2. Будинок культури, с-ще Рожнятів, площа Єдності, 15.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3. Церква Різдва Христового, с-ще Рожнятів, вул. Січових Стрільців, 2.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lang w:eastAsia="en-US"/>
              </w:rPr>
            </w:pPr>
            <w:r w:rsidRPr="002F0C3C">
              <w:rPr>
                <w:b/>
                <w:bCs/>
                <w:lang w:eastAsia="en-US"/>
              </w:rPr>
              <w:t>Вигодська громада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1. Центр спадщини Вигодської вузькоколійки, с-ще Вигода, вул. Данила Галицького, 66.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2. Вузькоколійка «Карпатський трамвай», с-ще Вигода, вул. Данила Галицького, 63.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/>
                <w:bCs/>
                <w:lang w:eastAsia="en-US"/>
              </w:rPr>
            </w:pPr>
            <w:r w:rsidRPr="002F0C3C">
              <w:rPr>
                <w:b/>
                <w:bCs/>
                <w:lang w:eastAsia="en-US"/>
              </w:rPr>
              <w:t>Долинська громада</w:t>
            </w:r>
          </w:p>
          <w:p w:rsidR="00FC062B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 xml:space="preserve">1. Долинський краєзнавчий музей Тетяни і Омеляна Антоновичів «Бойківщина», 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м. Долина, вул. Чорновола, 2а.</w:t>
            </w:r>
          </w:p>
          <w:p w:rsidR="00FC062B" w:rsidRPr="002F0C3C" w:rsidRDefault="00FC062B" w:rsidP="00DD6D55">
            <w:pPr>
              <w:pStyle w:val="capitalletter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eastAsia="en-US"/>
              </w:rPr>
            </w:pPr>
            <w:r w:rsidRPr="002F0C3C">
              <w:rPr>
                <w:lang w:eastAsia="en-US"/>
              </w:rPr>
              <w:t>2. Міський будинок культури ім. В. Гаразда, м. Долина, проспект Незалежності, 6.</w:t>
            </w:r>
          </w:p>
          <w:p w:rsidR="00FC062B" w:rsidRDefault="00FC062B" w:rsidP="00DD6D5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F0C3C">
              <w:rPr>
                <w:lang w:eastAsia="en-US"/>
              </w:rPr>
              <w:t>3. Дім паломника Василіянського монастиря на Ясній Горі, с. Гошів</w:t>
            </w:r>
            <w:r>
              <w:rPr>
                <w:lang w:eastAsia="en-US"/>
              </w:rPr>
              <w:t>.</w:t>
            </w:r>
          </w:p>
          <w:p w:rsidR="00FC062B" w:rsidRDefault="00FC062B" w:rsidP="00DD6D55">
            <w:pPr>
              <w:autoSpaceDE w:val="0"/>
              <w:autoSpaceDN w:val="0"/>
              <w:adjustRightInd w:val="0"/>
              <w:ind w:firstLine="469"/>
              <w:jc w:val="both"/>
              <w:rPr>
                <w:bCs/>
                <w:color w:val="1F1F1F"/>
                <w:shd w:val="clear" w:color="auto" w:fill="FFFFFF"/>
              </w:rPr>
            </w:pPr>
            <w:r w:rsidRPr="00A7076D">
              <w:rPr>
                <w:bCs/>
                <w:color w:val="1F1F1F"/>
                <w:shd w:val="clear" w:color="auto" w:fill="FFFFFF"/>
              </w:rPr>
              <w:t xml:space="preserve">На головному туристичному інтернет-порталі області iftourism.com розроблено функціонал для перегляду доступних для </w:t>
            </w:r>
            <w:r>
              <w:rPr>
                <w:bCs/>
                <w:color w:val="1F1F1F"/>
                <w:shd w:val="clear" w:color="auto" w:fill="FFFFFF"/>
              </w:rPr>
              <w:t>осіб</w:t>
            </w:r>
            <w:r w:rsidRPr="00A7076D">
              <w:rPr>
                <w:bCs/>
                <w:color w:val="1F1F1F"/>
                <w:shd w:val="clear" w:color="auto" w:fill="FFFFFF"/>
              </w:rPr>
              <w:t xml:space="preserve"> з інвалідністю туристичних об’єктів</w:t>
            </w:r>
            <w:r>
              <w:rPr>
                <w:bCs/>
                <w:color w:val="1F1F1F"/>
                <w:shd w:val="clear" w:color="auto" w:fill="FFFFFF"/>
              </w:rPr>
              <w:t>.</w:t>
            </w:r>
          </w:p>
          <w:p w:rsidR="00FC062B" w:rsidRDefault="00FC062B" w:rsidP="00F745A7">
            <w:pPr>
              <w:autoSpaceDE w:val="0"/>
              <w:autoSpaceDN w:val="0"/>
              <w:adjustRightInd w:val="0"/>
              <w:ind w:firstLine="469"/>
              <w:jc w:val="both"/>
              <w:rPr>
                <w:bCs/>
                <w:color w:val="1F1F1F"/>
                <w:shd w:val="clear" w:color="auto" w:fill="FFFFFF"/>
              </w:rPr>
            </w:pPr>
            <w:r>
              <w:rPr>
                <w:color w:val="000000"/>
                <w:lang w:eastAsia="uk-UA"/>
              </w:rPr>
              <w:t>Суб'єкти туристичної індустрії</w:t>
            </w:r>
            <w:r w:rsidRPr="00081E27">
              <w:rPr>
                <w:color w:val="000000"/>
                <w:lang w:eastAsia="uk-UA"/>
              </w:rPr>
              <w:t xml:space="preserve"> Івано-Франківщини впродовж року заповнюють інформацію про стан фізичної доступності та безбар’єрності засобів розміщення та інших об’єктів туристичної інфраструктури у відповідних формах, </w:t>
            </w:r>
            <w:r w:rsidRPr="00081E27">
              <w:rPr>
                <w:color w:val="050505"/>
                <w:shd w:val="clear" w:color="auto" w:fill="FFFFFF"/>
              </w:rPr>
              <w:t xml:space="preserve">для внесення інформації на мапу «Місто без меж» - загальноукраїнську базу локацій, створену за сприяння Державного агентства розвитку туризму в рамках </w:t>
            </w:r>
            <w:r w:rsidRPr="00081E27">
              <w:rPr>
                <w:rFonts w:eastAsia="Malgun Gothic Semilight"/>
              </w:rPr>
              <w:t>реал</w:t>
            </w:r>
            <w:r w:rsidRPr="00081E27">
              <w:t>і</w:t>
            </w:r>
            <w:r w:rsidRPr="00081E27">
              <w:rPr>
                <w:rFonts w:eastAsia="Malgun Gothic Semilight"/>
              </w:rPr>
              <w:t>зац</w:t>
            </w:r>
            <w:r w:rsidRPr="00081E27">
              <w:t xml:space="preserve">ії </w:t>
            </w:r>
            <w:r w:rsidRPr="00081E27">
              <w:rPr>
                <w:rFonts w:eastAsia="Malgun Gothic Semilight"/>
              </w:rPr>
              <w:t>Нац</w:t>
            </w:r>
            <w:r w:rsidRPr="00081E27">
              <w:t>і</w:t>
            </w:r>
            <w:r w:rsidRPr="00081E27">
              <w:rPr>
                <w:rFonts w:eastAsia="Malgun Gothic Semilight"/>
              </w:rPr>
              <w:t>онально</w:t>
            </w:r>
            <w:r w:rsidRPr="00081E27">
              <w:t xml:space="preserve">ї </w:t>
            </w:r>
            <w:r w:rsidRPr="00081E27">
              <w:rPr>
                <w:rFonts w:eastAsia="Malgun Gothic Semilight"/>
              </w:rPr>
              <w:t>стратег</w:t>
            </w:r>
            <w:r w:rsidRPr="00081E27">
              <w:t>ії і</w:t>
            </w:r>
            <w:r w:rsidRPr="00081E27">
              <w:rPr>
                <w:rFonts w:eastAsia="Malgun Gothic Semilight"/>
              </w:rPr>
              <w:t>з</w:t>
            </w:r>
            <w:r w:rsidRPr="00081E27">
              <w:t xml:space="preserve"> </w:t>
            </w:r>
            <w:r w:rsidRPr="00081E27">
              <w:rPr>
                <w:rFonts w:eastAsia="Malgun Gothic Semilight"/>
              </w:rPr>
              <w:t>створення</w:t>
            </w:r>
            <w:r w:rsidRPr="00081E27">
              <w:t xml:space="preserve"> </w:t>
            </w:r>
            <w:r w:rsidRPr="00081E27">
              <w:rPr>
                <w:rFonts w:eastAsia="Malgun Gothic Semilight"/>
              </w:rPr>
              <w:t>безбар’</w:t>
            </w:r>
            <w:r w:rsidRPr="00081E27">
              <w:t>є</w:t>
            </w:r>
            <w:r w:rsidRPr="00081E27">
              <w:rPr>
                <w:rFonts w:eastAsia="Malgun Gothic Semilight"/>
              </w:rPr>
              <w:t>рного</w:t>
            </w:r>
            <w:r w:rsidRPr="00081E27">
              <w:t xml:space="preserve"> </w:t>
            </w:r>
            <w:r w:rsidRPr="00081E27">
              <w:rPr>
                <w:rFonts w:eastAsia="Malgun Gothic Semilight"/>
              </w:rPr>
              <w:t>простору</w:t>
            </w:r>
            <w:r w:rsidRPr="00081E27">
              <w:t xml:space="preserve"> </w:t>
            </w:r>
            <w:r w:rsidRPr="00081E27">
              <w:rPr>
                <w:rFonts w:eastAsia="Malgun Gothic Semilight"/>
              </w:rPr>
              <w:t>в</w:t>
            </w:r>
            <w:r w:rsidRPr="00081E27">
              <w:t xml:space="preserve"> </w:t>
            </w:r>
            <w:r w:rsidRPr="00081E27">
              <w:rPr>
                <w:rFonts w:eastAsia="Malgun Gothic Semilight"/>
              </w:rPr>
              <w:t>Укра</w:t>
            </w:r>
            <w:r w:rsidRPr="00081E27">
              <w:t>ї</w:t>
            </w:r>
            <w:r w:rsidRPr="00081E27">
              <w:rPr>
                <w:rFonts w:eastAsia="Malgun Gothic Semilight"/>
              </w:rPr>
              <w:t>н</w:t>
            </w:r>
            <w:r w:rsidRPr="00081E27">
              <w:t xml:space="preserve">і </w:t>
            </w:r>
            <w:r w:rsidRPr="00081E27">
              <w:rPr>
                <w:rFonts w:eastAsia="Malgun Gothic Semilight"/>
              </w:rPr>
              <w:t>на</w:t>
            </w:r>
            <w:r w:rsidRPr="00081E27">
              <w:t xml:space="preserve"> </w:t>
            </w:r>
            <w:r w:rsidRPr="00081E27">
              <w:rPr>
                <w:rFonts w:eastAsia="Malgun Gothic Semilight"/>
              </w:rPr>
              <w:t>пер</w:t>
            </w:r>
            <w:r w:rsidRPr="00081E27">
              <w:t>і</w:t>
            </w:r>
            <w:r w:rsidRPr="00081E27">
              <w:rPr>
                <w:rFonts w:eastAsia="Malgun Gothic Semilight"/>
              </w:rPr>
              <w:t>од</w:t>
            </w:r>
            <w:r w:rsidRPr="00081E27">
              <w:t xml:space="preserve"> </w:t>
            </w:r>
            <w:r w:rsidRPr="00081E27">
              <w:rPr>
                <w:rFonts w:eastAsia="Malgun Gothic Semilight"/>
              </w:rPr>
              <w:t>до</w:t>
            </w:r>
            <w:r w:rsidRPr="00081E27">
              <w:t xml:space="preserve"> 2030 </w:t>
            </w:r>
            <w:r w:rsidRPr="00081E27">
              <w:rPr>
                <w:rFonts w:eastAsia="Malgun Gothic Semilight"/>
              </w:rPr>
              <w:t>року,</w:t>
            </w:r>
            <w:r w:rsidRPr="00081E27">
              <w:rPr>
                <w:color w:val="050505"/>
                <w:shd w:val="clear" w:color="auto" w:fill="FFFFFF"/>
              </w:rPr>
              <w:t xml:space="preserve"> у співпраці з обласними державними (військовими) адміністраціями</w:t>
            </w:r>
            <w:r>
              <w:rPr>
                <w:color w:val="050505"/>
                <w:shd w:val="clear" w:color="auto" w:fill="FFFFFF"/>
              </w:rPr>
              <w:t>.</w:t>
            </w:r>
          </w:p>
          <w:p w:rsidR="00FC062B" w:rsidRPr="00081E27" w:rsidRDefault="00FC062B" w:rsidP="00F745A7">
            <w:pPr>
              <w:ind w:firstLine="469"/>
              <w:jc w:val="both"/>
              <w:rPr>
                <w:color w:val="000000"/>
                <w:shd w:val="clear" w:color="auto" w:fill="FFFFFF"/>
              </w:rPr>
            </w:pPr>
            <w:r>
              <w:t>Окрім того,</w:t>
            </w:r>
            <w:r w:rsidRPr="00081E27">
              <w:rPr>
                <w:color w:val="000000"/>
              </w:rPr>
              <w:t xml:space="preserve"> </w:t>
            </w:r>
            <w:r>
              <w:rPr>
                <w:lang w:eastAsia="uk-UA"/>
              </w:rPr>
              <w:t>оприлюднено</w:t>
            </w:r>
            <w:r w:rsidRPr="00081E27">
              <w:rPr>
                <w:lang w:eastAsia="uk-UA"/>
              </w:rPr>
              <w:t xml:space="preserve"> </w:t>
            </w:r>
            <w:r w:rsidRPr="00081E27">
              <w:rPr>
                <w:bCs/>
                <w:color w:val="000000"/>
                <w:shd w:val="clear" w:color="auto" w:fill="FFFFFF"/>
              </w:rPr>
              <w:t>Методичні рекомендації</w:t>
            </w:r>
            <w:r w:rsidRPr="00081E27">
              <w:rPr>
                <w:rStyle w:val="xfmc1"/>
                <w:bCs/>
                <w:color w:val="000000"/>
                <w:shd w:val="clear" w:color="auto" w:fill="FFFFFF"/>
              </w:rPr>
              <w:t xml:space="preserve"> </w:t>
            </w:r>
            <w:r w:rsidRPr="00081E27">
              <w:rPr>
                <w:bCs/>
                <w:color w:val="000000"/>
                <w:shd w:val="clear" w:color="auto" w:fill="FFFFFF"/>
              </w:rPr>
              <w:t>для суб’</w:t>
            </w:r>
            <w:r>
              <w:rPr>
                <w:bCs/>
                <w:color w:val="000000"/>
                <w:shd w:val="clear" w:color="auto" w:fill="FFFFFF"/>
              </w:rPr>
              <w:t>єктів, які прова</w:t>
            </w:r>
            <w:r w:rsidRPr="00081E27">
              <w:rPr>
                <w:bCs/>
                <w:color w:val="000000"/>
                <w:shd w:val="clear" w:color="auto" w:fill="FFFFFF"/>
              </w:rPr>
              <w:t>дять туристичну діяльність</w:t>
            </w:r>
            <w:r w:rsidRPr="00081E27">
              <w:rPr>
                <w:rStyle w:val="xfmc1"/>
                <w:bCs/>
                <w:color w:val="000000"/>
                <w:shd w:val="clear" w:color="auto" w:fill="FFFFFF"/>
              </w:rPr>
              <w:t xml:space="preserve"> </w:t>
            </w:r>
            <w:r w:rsidRPr="00081E27">
              <w:rPr>
                <w:bCs/>
                <w:color w:val="000000"/>
                <w:shd w:val="clear" w:color="auto" w:fill="FFFFFF"/>
              </w:rPr>
              <w:t>(екскурсійне обслуговування), фахівців туристичного супроводу щодо надання</w:t>
            </w:r>
            <w:r w:rsidRPr="00081E27">
              <w:rPr>
                <w:rStyle w:val="xfmc1"/>
                <w:bCs/>
                <w:color w:val="000000"/>
                <w:shd w:val="clear" w:color="auto" w:fill="FFFFFF"/>
              </w:rPr>
              <w:t xml:space="preserve"> </w:t>
            </w:r>
            <w:r w:rsidRPr="00081E27">
              <w:rPr>
                <w:bCs/>
                <w:color w:val="000000"/>
                <w:shd w:val="clear" w:color="auto" w:fill="FFFFFF"/>
              </w:rPr>
              <w:t xml:space="preserve">інформації в доступних для осіб з інвалідністю форматах </w:t>
            </w:r>
            <w:r w:rsidRPr="00081E27">
              <w:rPr>
                <w:color w:val="000000"/>
                <w:shd w:val="clear" w:color="auto" w:fill="FFFFFF"/>
              </w:rPr>
              <w:t xml:space="preserve">на офіційних </w:t>
            </w:r>
            <w:r w:rsidRPr="00081E27">
              <w:t>вебсайтах</w:t>
            </w:r>
            <w:r w:rsidRPr="00081E27">
              <w:rPr>
                <w:color w:val="000000"/>
                <w:shd w:val="clear" w:color="auto" w:fill="FFFFFF"/>
              </w:rPr>
              <w:t xml:space="preserve"> облдержадміністрації і департаменту міжнародного співробітництва та євроінтеграції громад </w:t>
            </w:r>
            <w:r w:rsidRPr="00081E27">
              <w:rPr>
                <w:lang w:eastAsia="uk-UA"/>
              </w:rPr>
              <w:t>облдержадміністрації</w:t>
            </w:r>
            <w:r w:rsidRPr="00081E27">
              <w:rPr>
                <w:rStyle w:val="xfmc1"/>
                <w:bCs/>
                <w:color w:val="000000"/>
                <w:shd w:val="clear" w:color="auto" w:fill="FFFFFF"/>
              </w:rPr>
              <w:t xml:space="preserve"> </w:t>
            </w:r>
            <w:r w:rsidRPr="00081E27">
              <w:rPr>
                <w:color w:val="000000"/>
                <w:shd w:val="clear" w:color="auto" w:fill="FFFFFF"/>
              </w:rPr>
              <w:t xml:space="preserve">за посиланнями: </w:t>
            </w:r>
            <w:hyperlink r:id="rId8" w:history="1">
              <w:r w:rsidRPr="00081E27">
                <w:rPr>
                  <w:rStyle w:val="Hyperlink"/>
                  <w:shd w:val="clear" w:color="auto" w:fill="FFFFFF"/>
                </w:rPr>
                <w:t>https://tinyurl.com/39wv7bfm</w:t>
              </w:r>
            </w:hyperlink>
            <w:r w:rsidRPr="00081E27">
              <w:rPr>
                <w:rStyle w:val="Hyperlink"/>
                <w:shd w:val="clear" w:color="auto" w:fill="FFFFFF"/>
              </w:rPr>
              <w:t xml:space="preserve">; </w:t>
            </w:r>
            <w:hyperlink r:id="rId9" w:history="1">
              <w:r w:rsidRPr="00081E27">
                <w:rPr>
                  <w:rStyle w:val="Hyperlink"/>
                  <w:shd w:val="clear" w:color="auto" w:fill="FFFFFF"/>
                </w:rPr>
                <w:t>https://tinyurl.com/yw73n87t</w:t>
              </w:r>
            </w:hyperlink>
            <w:r w:rsidRPr="00081E27">
              <w:rPr>
                <w:color w:val="000000"/>
                <w:shd w:val="clear" w:color="auto" w:fill="FFFFFF"/>
              </w:rPr>
              <w:t>.</w:t>
            </w:r>
          </w:p>
          <w:p w:rsidR="00FC062B" w:rsidRPr="00A7076D" w:rsidRDefault="00FC062B" w:rsidP="00081E27">
            <w:pPr>
              <w:autoSpaceDE w:val="0"/>
              <w:autoSpaceDN w:val="0"/>
              <w:adjustRightInd w:val="0"/>
              <w:jc w:val="both"/>
            </w:pPr>
            <w:r w:rsidRPr="00081E27">
              <w:rPr>
                <w:color w:val="000000"/>
                <w:shd w:val="clear" w:color="auto" w:fill="FFFFFF"/>
              </w:rPr>
              <w:t xml:space="preserve">Рекомендації також надіслані органам місцевого самоврядування, іншим </w:t>
            </w:r>
            <w:r w:rsidRPr="00081E27">
              <w:t>зацікавленим сторонам для ознайомлення і оприлюднення на відповідних інформаційних інтернет-ресурсах.</w:t>
            </w:r>
            <w:r>
              <w:rPr>
                <w:bCs/>
              </w:rPr>
              <w:t>.</w:t>
            </w:r>
          </w:p>
        </w:tc>
      </w:tr>
      <w:tr w:rsidR="00FC062B" w:rsidTr="00DD6D55">
        <w:trPr>
          <w:trHeight w:val="1075"/>
        </w:trPr>
        <w:tc>
          <w:tcPr>
            <w:tcW w:w="5762" w:type="dxa"/>
          </w:tcPr>
          <w:p w:rsidR="00FC062B" w:rsidRDefault="00FC062B" w:rsidP="00C310AB">
            <w:r w:rsidRPr="002570E5">
              <w:t>Проведення аналізу забезпечення належного рівня доступності  транспортних послуг та до об</w:t>
            </w:r>
            <w:r w:rsidRPr="00424D5D">
              <w:rPr>
                <w:lang w:val="ru-RU"/>
              </w:rPr>
              <w:t>’</w:t>
            </w:r>
            <w:r w:rsidRPr="002570E5">
              <w:t xml:space="preserve">єктів транспортної інфраструктури </w:t>
            </w:r>
            <w:r>
              <w:t>:</w:t>
            </w:r>
          </w:p>
          <w:p w:rsidR="00FC062B" w:rsidRDefault="00FC062B" w:rsidP="00C310AB"/>
          <w:p w:rsidR="00FC062B" w:rsidRDefault="00FC062B" w:rsidP="00C310AB">
            <w:r>
              <w:t>- щодо</w:t>
            </w:r>
            <w:r w:rsidRPr="00DF5688">
              <w:t xml:space="preserve"> кількості транспорту міського, міжміського сполучення, які відповідають вимогам доступності</w:t>
            </w:r>
            <w:r>
              <w:t>;</w:t>
            </w:r>
          </w:p>
          <w:p w:rsidR="00FC062B" w:rsidRDefault="00FC062B" w:rsidP="00C310AB"/>
          <w:p w:rsidR="00FC062B" w:rsidRDefault="00FC062B" w:rsidP="00C310AB"/>
          <w:p w:rsidR="00FC062B" w:rsidRDefault="00FC062B" w:rsidP="00C310AB"/>
          <w:p w:rsidR="00FC062B" w:rsidRDefault="00FC062B" w:rsidP="00C310AB"/>
          <w:p w:rsidR="00FC062B" w:rsidRDefault="00FC062B" w:rsidP="00C310AB">
            <w:r>
              <w:t xml:space="preserve">- щодо </w:t>
            </w:r>
            <w:r w:rsidRPr="00B96541">
              <w:t>забезпечення облаштування зупинок громадського транспорту елементами доступності для людей з різними формами інвалідності та маломобільних груп населення</w:t>
            </w:r>
            <w:r>
              <w:t>.</w:t>
            </w:r>
          </w:p>
          <w:p w:rsidR="00FC062B" w:rsidRPr="002570E5" w:rsidRDefault="00FC062B" w:rsidP="00424D5D">
            <w:pPr>
              <w:spacing w:before="100" w:beforeAutospacing="1" w:after="100" w:afterAutospacing="1"/>
            </w:pPr>
          </w:p>
        </w:tc>
        <w:tc>
          <w:tcPr>
            <w:tcW w:w="9080" w:type="dxa"/>
          </w:tcPr>
          <w:p w:rsidR="00FC062B" w:rsidRPr="00D50950" w:rsidRDefault="00FC062B" w:rsidP="00424D5D">
            <w:pPr>
              <w:ind w:right="38" w:firstLine="279"/>
              <w:jc w:val="both"/>
            </w:pPr>
            <w:r w:rsidRPr="00D50950">
              <w:t>На маршрутах міського, приміського та міжнародного сполучення області працює 548 одиниць транспорту, які повністю або частково відповідають вимогам доступності та на міських маршрутах 63 одиниці електничного транспорту. Разом з тим, 151 зупинка транспорту в обласному центрі оснащена елементами доступності для осіб з інвалідністю та мамолобільних груп населення.</w:t>
            </w:r>
          </w:p>
          <w:p w:rsidR="00FC062B" w:rsidRPr="00D50950" w:rsidRDefault="00FC062B" w:rsidP="00424D5D">
            <w:pPr>
              <w:jc w:val="both"/>
            </w:pPr>
            <w:r w:rsidRPr="00D50950">
              <w:t xml:space="preserve">На офіційному вебсайті облдержадміністрації розміщено дані про створення умов доступності транспорту до об’єктів транспортної інфраструктури для осіб з інвалідністю та інших маломобільних груп населення у сфері транспорту і транспортно-дорожньої інфраструктури    </w:t>
            </w:r>
          </w:p>
          <w:p w:rsidR="00FC062B" w:rsidRPr="00D50950" w:rsidRDefault="00FC062B" w:rsidP="00424D5D">
            <w:pPr>
              <w:jc w:val="both"/>
            </w:pPr>
            <w:hyperlink r:id="rId10" w:tgtFrame="_blank" w:history="1">
              <w:r w:rsidRPr="00D50950">
                <w:rPr>
                  <w:rStyle w:val="Hyperlink"/>
                </w:rPr>
                <w:t>https://www.if.gov.ua/ekonomika-if/infrastruktura/transport/transportna-dostupnist</w:t>
              </w:r>
            </w:hyperlink>
            <w:r w:rsidRPr="00D50950">
              <w:t>.</w:t>
            </w:r>
          </w:p>
          <w:p w:rsidR="00FC062B" w:rsidRPr="00D50950" w:rsidRDefault="00FC062B" w:rsidP="0006580B">
            <w:pPr>
              <w:ind w:right="38" w:firstLine="402"/>
              <w:jc w:val="both"/>
            </w:pPr>
            <w:r w:rsidRPr="00D50950">
              <w:t>Упродовж звітного періоду територіальними громадами області проведено аналіз забезпечення належного рівня доступності транспортних послуг та доступності об</w:t>
            </w:r>
            <w:r w:rsidRPr="00D50950">
              <w:rPr>
                <w:lang w:val="en-US"/>
              </w:rPr>
              <w:t>’</w:t>
            </w:r>
            <w:r w:rsidRPr="00D50950">
              <w:t xml:space="preserve">єктів транспортної інфраструктури. </w:t>
            </w:r>
          </w:p>
          <w:p w:rsidR="00FC062B" w:rsidRDefault="00FC062B" w:rsidP="0006580B">
            <w:pPr>
              <w:ind w:firstLine="402"/>
              <w:jc w:val="both"/>
            </w:pPr>
            <w:r w:rsidRPr="00D50950">
              <w:t>Поряд з цим, в територіальних громадах області здійснюються заходи проекту «Рух без бар’єрів»</w:t>
            </w:r>
            <w:r w:rsidRPr="00D50950">
              <w:rPr>
                <w:lang w:val="en-US"/>
              </w:rPr>
              <w:t xml:space="preserve"> - </w:t>
            </w:r>
            <w:r w:rsidRPr="00D50950">
              <w:t>«Безбар'єрні маршрути». Маршрути розробляються місцевою владою спільно з архітекторами, управителями об'єктів і громадськими організаціями. Облаштування безбар</w:t>
            </w:r>
            <w:r w:rsidRPr="00D50950">
              <w:rPr>
                <w:lang w:val="en-US"/>
              </w:rPr>
              <w:t>’</w:t>
            </w:r>
            <w:r w:rsidRPr="00D50950">
              <w:t>єрних маршрутів підвищить доступність вулиць, громадських будівель, транспорту, житлової та прибудинкової інфраструктури</w:t>
            </w:r>
            <w:r>
              <w:t xml:space="preserve"> в  територіальних громадах області.</w:t>
            </w:r>
          </w:p>
          <w:p w:rsidR="00FC062B" w:rsidRPr="007E7250" w:rsidRDefault="00FC062B" w:rsidP="0006580B">
            <w:pPr>
              <w:ind w:firstLine="402"/>
              <w:jc w:val="both"/>
            </w:pPr>
          </w:p>
        </w:tc>
      </w:tr>
      <w:tr w:rsidR="00FC062B" w:rsidTr="00164D46">
        <w:trPr>
          <w:trHeight w:val="888"/>
        </w:trPr>
        <w:tc>
          <w:tcPr>
            <w:tcW w:w="5762" w:type="dxa"/>
          </w:tcPr>
          <w:p w:rsidR="00FC062B" w:rsidRDefault="00FC062B" w:rsidP="008D066E">
            <w:r w:rsidRPr="002570E5">
              <w:t>Проведення аналізу забезпечення належного рівня доступності  транспортних послуг та до об</w:t>
            </w:r>
            <w:r w:rsidRPr="002570E5">
              <w:rPr>
                <w:lang w:val="ru-RU"/>
              </w:rPr>
              <w:t>’</w:t>
            </w:r>
            <w:r w:rsidRPr="002570E5">
              <w:t>єкт</w:t>
            </w:r>
            <w:r>
              <w:t>ів транспортної інфраструктури :</w:t>
            </w:r>
          </w:p>
          <w:p w:rsidR="00FC062B" w:rsidRPr="002570E5" w:rsidRDefault="00FC062B" w:rsidP="008D066E">
            <w:pPr>
              <w:spacing w:before="100" w:beforeAutospacing="1" w:after="100" w:afterAutospacing="1"/>
            </w:pPr>
            <w:r>
              <w:t xml:space="preserve">- </w:t>
            </w:r>
            <w:r w:rsidRPr="002570E5">
              <w:t xml:space="preserve">забезпечення придбання шкільних автобусів, пристосованих для перевезення дітей, які </w:t>
            </w:r>
            <w:r>
              <w:t>користуються кріслами колісними.</w:t>
            </w:r>
          </w:p>
        </w:tc>
        <w:tc>
          <w:tcPr>
            <w:tcW w:w="9080" w:type="dxa"/>
          </w:tcPr>
          <w:p w:rsidR="00FC062B" w:rsidRPr="00BA568D" w:rsidRDefault="00FC062B" w:rsidP="00A026CB">
            <w:pPr>
              <w:ind w:firstLine="469"/>
              <w:jc w:val="both"/>
            </w:pPr>
            <w:r w:rsidRPr="00BA568D">
              <w:t>На даний час в області наявні 25 спеціальн</w:t>
            </w:r>
            <w:r>
              <w:t>их шкільних автобусів, обладнаних</w:t>
            </w:r>
            <w:r w:rsidRPr="00BA568D">
              <w:t xml:space="preserve"> підйомником для переміщення школярів з порушенням опорно-рухового апарату, які користуються кріслами колісниками. У звітному періоді придбано 13 спеціальних шкільних автобусів з врахуванням коштів, які були  виділені з державного бюджету та співфінансування з місцевого бюджету. </w:t>
            </w:r>
          </w:p>
          <w:p w:rsidR="00FC062B" w:rsidRPr="00BA568D" w:rsidRDefault="00FC062B" w:rsidP="006C3715">
            <w:pPr>
              <w:ind w:firstLine="266"/>
              <w:jc w:val="both"/>
              <w:rPr>
                <w:lang w:eastAsia="uk-UA"/>
              </w:rPr>
            </w:pPr>
            <w:r w:rsidRPr="00BA568D">
              <w:t xml:space="preserve">Також, наявні </w:t>
            </w:r>
            <w:r w:rsidRPr="00BA568D">
              <w:rPr>
                <w:rFonts w:eastAsia="BatangChe"/>
                <w:color w:val="000000"/>
              </w:rPr>
              <w:t xml:space="preserve">7 </w:t>
            </w:r>
            <w:r w:rsidRPr="00BA568D">
              <w:t xml:space="preserve">мобільних інклюзивно-ресурсних центрів, які призначені для надання додаткових психолого-педагогічних та корекційно-розвиткових послуг дітям з особливими освітніми потребами. </w:t>
            </w:r>
            <w:r w:rsidRPr="00BA568D">
              <w:rPr>
                <w:lang w:eastAsia="uk-UA"/>
              </w:rPr>
              <w:t>Упродовж звітного періоду Івано-Франківською облдержадміністрацією  передано  автобуси 5 територіальним громадам Калуського району (Верхнянській, Долинській, Рожнятівській, Калуській, Перегінській) для підвозу дітей до навчальних закладів.</w:t>
            </w:r>
          </w:p>
          <w:p w:rsidR="00FC062B" w:rsidRDefault="00FC062B" w:rsidP="006C3715">
            <w:pPr>
              <w:ind w:firstLine="536"/>
              <w:jc w:val="both"/>
              <w:rPr>
                <w:lang w:eastAsia="uk-UA"/>
              </w:rPr>
            </w:pPr>
            <w:r>
              <w:rPr>
                <w:lang w:eastAsia="uk-UA"/>
              </w:rPr>
              <w:t>За кошти державного бюджету за</w:t>
            </w:r>
            <w:r w:rsidRPr="00BA568D">
              <w:rPr>
                <w:lang w:eastAsia="uk-UA"/>
              </w:rPr>
              <w:t xml:space="preserve"> співфінансування міського бюджету Яремчанської міської ради придбано спеціальний шкільний автобус для підвезення дітей з особливими освітніми потребами Яремчанського ліцею № 1, в тому числі дітей на кріслах колісних.</w:t>
            </w:r>
          </w:p>
          <w:p w:rsidR="00FC062B" w:rsidRPr="00BA568D" w:rsidRDefault="00FC062B" w:rsidP="006C3715">
            <w:pPr>
              <w:ind w:firstLine="536"/>
              <w:jc w:val="both"/>
              <w:rPr>
                <w:lang w:eastAsia="uk-UA"/>
              </w:rPr>
            </w:pPr>
          </w:p>
          <w:p w:rsidR="00FC062B" w:rsidRDefault="00FC062B" w:rsidP="006C3715">
            <w:pPr>
              <w:ind w:firstLine="536"/>
              <w:jc w:val="both"/>
            </w:pPr>
            <w:r w:rsidRPr="00BA568D">
              <w:t>Придбано шкільний автобус, пристосований для перевезення дітей, які користуються кріслами колісними для Старокривотульського ліцею Тисменицької міської ради. Шкільний автобус, який отримала Тисменицька громада, вдалося придбати за кошти освітньої субвенції з державного бюджету та співфінансування з обласного бюджету, а також бюджету Тисменицької міської ради.</w:t>
            </w:r>
          </w:p>
          <w:p w:rsidR="00FC062B" w:rsidRPr="006C3715" w:rsidRDefault="00FC062B" w:rsidP="006C3715">
            <w:pPr>
              <w:ind w:firstLine="536"/>
              <w:jc w:val="both"/>
              <w:rPr>
                <w:i/>
              </w:rPr>
            </w:pPr>
          </w:p>
        </w:tc>
      </w:tr>
      <w:tr w:rsidR="00FC062B" w:rsidTr="003C0BC3">
        <w:trPr>
          <w:trHeight w:val="8244"/>
        </w:trPr>
        <w:tc>
          <w:tcPr>
            <w:tcW w:w="5762" w:type="dxa"/>
          </w:tcPr>
          <w:p w:rsidR="00FC062B" w:rsidRDefault="00FC062B" w:rsidP="00424D5D">
            <w:pPr>
              <w:spacing w:before="100" w:beforeAutospacing="1" w:after="100" w:afterAutospacing="1"/>
            </w:pPr>
            <w:r w:rsidRPr="00885468">
              <w:t>Проведення функціонального аудиту дитячих будинків-інтернатів та психоневрологічних інтернатів для виявлення осіб, які потребують надання соціальної послуги підтриманого проживання</w:t>
            </w:r>
            <w:r>
              <w:t>.</w:t>
            </w:r>
          </w:p>
          <w:p w:rsidR="00FC062B" w:rsidRDefault="00FC062B" w:rsidP="00424D5D">
            <w:pPr>
              <w:spacing w:before="100" w:beforeAutospacing="1" w:after="100" w:afterAutospacing="1"/>
            </w:pPr>
          </w:p>
          <w:p w:rsidR="00FC062B" w:rsidRDefault="00FC062B" w:rsidP="00424D5D">
            <w:pPr>
              <w:spacing w:before="100" w:beforeAutospacing="1" w:after="100" w:afterAutospacing="1"/>
            </w:pPr>
          </w:p>
          <w:p w:rsidR="00FC062B" w:rsidRDefault="00FC062B" w:rsidP="00424D5D">
            <w:pPr>
              <w:spacing w:before="100" w:beforeAutospacing="1" w:after="100" w:afterAutospacing="1"/>
            </w:pPr>
          </w:p>
          <w:p w:rsidR="00FC062B" w:rsidRPr="002570E5" w:rsidRDefault="00FC062B" w:rsidP="00424D5D">
            <w:pPr>
              <w:spacing w:before="100" w:beforeAutospacing="1" w:after="100" w:afterAutospacing="1"/>
            </w:pPr>
            <w:r w:rsidRPr="003D410C">
              <w:t>Проведення аналізу запровадження комплексних реабілітаційних та абілітаційних послуг, спрямованих на підвищення якості життя, активності, працездатності та залучення в усі форми суспільного життя осіб з інвалідністю  та ветеранів війни.</w:t>
            </w:r>
          </w:p>
        </w:tc>
        <w:tc>
          <w:tcPr>
            <w:tcW w:w="9080" w:type="dxa"/>
          </w:tcPr>
          <w:p w:rsidR="00FC062B" w:rsidRPr="00B865E2" w:rsidRDefault="00FC062B" w:rsidP="002C4C32">
            <w:pPr>
              <w:ind w:firstLine="469"/>
              <w:jc w:val="both"/>
            </w:pPr>
            <w:r w:rsidRPr="00B865E2">
              <w:t>Впродовж 02-05 вересня 2025 року робочою групою у складі спеціалістів департаменту соціальної  політики облдержадміністрації спільно з представником Головного управління Національної соціальної сервісної служби в Івано-Франківській області проведено моніторингові відвідування інтернатних закладів області.</w:t>
            </w:r>
          </w:p>
          <w:p w:rsidR="00FC062B" w:rsidRPr="00B865E2" w:rsidRDefault="00FC062B" w:rsidP="002C4C32">
            <w:pPr>
              <w:ind w:firstLine="469"/>
              <w:jc w:val="both"/>
            </w:pPr>
            <w:r w:rsidRPr="00B865E2">
              <w:t>За результатами відвідувань встановлено, що у Залучанському дитячому будинку-інтернаті проживають 136 вихованців/підопічних, з яких 35 дітей до 18 років. З даної категорії вихованців/підопічних 22 особи пересуваються із сторонньою допомогою, 70 ліжко-хворі, 44 особи пересуваються самостійно, але всі потребують постійного стороннього догляду.</w:t>
            </w:r>
          </w:p>
          <w:p w:rsidR="00FC062B" w:rsidRPr="00B865E2" w:rsidRDefault="00FC062B" w:rsidP="002C4C32">
            <w:pPr>
              <w:ind w:firstLine="469"/>
              <w:jc w:val="both"/>
            </w:pPr>
            <w:r w:rsidRPr="00B865E2">
              <w:t>У 4 психоневрологічних будинках-інтернатах проживає 692 підопічних (338 – чоловіки, 354 – жінки), з яких 68 осіб пересуваються з сторонньою допомогою, 128 ліжко-хворі, 496 пересуваються самостійно, але потребують постійної сторонньої допомоги та догляду.</w:t>
            </w:r>
          </w:p>
          <w:p w:rsidR="00FC062B" w:rsidRPr="00B865E2" w:rsidRDefault="00FC062B" w:rsidP="002C4C32">
            <w:pPr>
              <w:ind w:firstLine="469"/>
              <w:jc w:val="both"/>
            </w:pPr>
            <w:r w:rsidRPr="00B865E2">
              <w:t>Поряд з цим, в</w:t>
            </w:r>
            <w:r w:rsidRPr="00B865E2">
              <w:rPr>
                <w:sz w:val="28"/>
                <w:szCs w:val="28"/>
              </w:rPr>
              <w:t xml:space="preserve"> </w:t>
            </w:r>
            <w:r w:rsidRPr="00B865E2">
              <w:t>області проводиться робота щодо запровадження комплексних реабілітаційних та абілітаційних послуг, спрямованих на підвищення якості життя, активності, працездатності та залучення осіб з інвалідністю та ветеранів війни до суспільного життя.</w:t>
            </w:r>
          </w:p>
          <w:p w:rsidR="00FC062B" w:rsidRDefault="00FC062B" w:rsidP="002E3F66">
            <w:pPr>
              <w:pStyle w:val="NormalWeb"/>
              <w:spacing w:before="0" w:beforeAutospacing="0" w:after="0" w:afterAutospacing="0"/>
              <w:ind w:firstLine="469"/>
              <w:jc w:val="both"/>
              <w:rPr>
                <w:shd w:val="clear" w:color="auto" w:fill="FFFFFF"/>
                <w:lang w:val="uk-UA"/>
              </w:rPr>
            </w:pPr>
            <w:r w:rsidRPr="00B865E2">
              <w:rPr>
                <w:shd w:val="clear" w:color="auto" w:fill="FFFFFF"/>
              </w:rPr>
              <w:t xml:space="preserve">Відповідно постанов Кабінету Міністрів України від  03.10.2023 № 1049         «Про реалізацію експериментального проекту із запровадження комплексної соціальної послуги з формування життєстійкості», від 23.01.2024 № 83 </w:t>
            </w:r>
            <w:r>
              <w:rPr>
                <w:shd w:val="clear" w:color="auto" w:fill="FFFFFF"/>
                <w:lang w:val="uk-UA"/>
              </w:rPr>
              <w:br/>
            </w:r>
            <w:r w:rsidRPr="00B865E2">
              <w:rPr>
                <w:shd w:val="clear" w:color="auto" w:fill="FFFFFF"/>
              </w:rPr>
              <w:t>«Про організацію діяльності та забезпечення функціонування центрів життєстійкості» в області діє</w:t>
            </w:r>
            <w:r w:rsidRPr="00B865E2">
              <w:t xml:space="preserve"> 18 Центрів життєстійкості</w:t>
            </w:r>
            <w:r w:rsidRPr="00B865E2">
              <w:rPr>
                <w:shd w:val="clear" w:color="auto" w:fill="FFFFFF"/>
              </w:rPr>
              <w:t xml:space="preserve">, які надають психосоціальну допомогу ветеранам війни, членам їх сімей, особам з інвалідністю та особам що потребують психосоціальної підтримки. </w:t>
            </w:r>
          </w:p>
          <w:p w:rsidR="00FC062B" w:rsidRPr="00B865E2" w:rsidRDefault="00FC062B" w:rsidP="002E3F66">
            <w:pPr>
              <w:pStyle w:val="NormalWeb"/>
              <w:spacing w:before="0" w:beforeAutospacing="0" w:after="0" w:afterAutospacing="0"/>
              <w:ind w:firstLine="469"/>
              <w:jc w:val="both"/>
              <w:rPr>
                <w:lang w:val="en-US"/>
              </w:rPr>
            </w:pPr>
            <w:r w:rsidRPr="00B865E2">
              <w:t xml:space="preserve">Мета таких Центрів - допомогти людині відновити своє ментальне здоров’я та навчити її підтримувати своїх близьких, повернути її до нормального життя та дати корисні інструменти для стабілізації свого емоційного стану в майбутньому. </w:t>
            </w:r>
          </w:p>
          <w:p w:rsidR="00FC062B" w:rsidRDefault="00FC062B" w:rsidP="00540957">
            <w:pPr>
              <w:ind w:firstLine="469"/>
              <w:jc w:val="both"/>
              <w:outlineLvl w:val="1"/>
              <w:rPr>
                <w:bCs/>
                <w:noProof w:val="0"/>
                <w:lang w:val="ru-RU"/>
              </w:rPr>
            </w:pPr>
            <w:r w:rsidRPr="00B865E2">
              <w:rPr>
                <w:bCs/>
                <w:noProof w:val="0"/>
                <w:lang w:val="ru-RU"/>
              </w:rPr>
              <w:t xml:space="preserve">На базі </w:t>
            </w:r>
            <w:hyperlink r:id="rId11" w:tgtFrame="_blank" w:history="1">
              <w:r w:rsidRPr="00B865E2">
                <w:rPr>
                  <w:bCs/>
                  <w:noProof w:val="0"/>
                  <w:color w:val="0000FF"/>
                  <w:u w:val="single"/>
                  <w:lang w:val="ru-RU"/>
                </w:rPr>
                <w:t>Івано-Франківської</w:t>
              </w:r>
            </w:hyperlink>
            <w:r w:rsidRPr="00B865E2">
              <w:rPr>
                <w:bCs/>
                <w:noProof w:val="0"/>
                <w:lang w:val="ru-RU"/>
              </w:rPr>
              <w:t xml:space="preserve"> обласної дитячої клінічної лікарні </w:t>
            </w:r>
            <w:r w:rsidRPr="00B865E2">
              <w:rPr>
                <w:bCs/>
                <w:noProof w:val="0"/>
              </w:rPr>
              <w:t>у вересні</w:t>
            </w:r>
            <w:r w:rsidRPr="00B865E2">
              <w:rPr>
                <w:bCs/>
                <w:noProof w:val="0"/>
                <w:lang w:val="ru-RU"/>
              </w:rPr>
              <w:t xml:space="preserve"> 2025 року відкрито центр ментального здоров’я. </w:t>
            </w:r>
          </w:p>
          <w:p w:rsidR="00FC062B" w:rsidRPr="00B865E2" w:rsidRDefault="00FC062B" w:rsidP="00540957">
            <w:pPr>
              <w:ind w:firstLine="469"/>
              <w:jc w:val="both"/>
              <w:outlineLvl w:val="1"/>
              <w:rPr>
                <w:bCs/>
                <w:noProof w:val="0"/>
                <w:lang w:val="ru-RU"/>
              </w:rPr>
            </w:pPr>
            <w:r w:rsidRPr="00B865E2">
              <w:rPr>
                <w:bCs/>
                <w:noProof w:val="0"/>
                <w:lang w:val="ru-RU"/>
              </w:rPr>
              <w:t>Проект</w:t>
            </w:r>
            <w:r>
              <w:rPr>
                <w:bCs/>
                <w:noProof w:val="0"/>
                <w:lang w:val="ru-RU"/>
              </w:rPr>
              <w:t xml:space="preserve"> </w:t>
            </w:r>
            <w:r w:rsidRPr="00B865E2">
              <w:rPr>
                <w:bCs/>
                <w:noProof w:val="0"/>
                <w:lang w:val="ru-RU"/>
              </w:rPr>
              <w:t xml:space="preserve"> реалізовано з міжнародними партнерами, дитячою лікарнею та обласною військовою адіністрацією. Фахівці центру, серед яких психологи, психіатри й логопеди, планують щодня консультувати до пів сотні дітей. </w:t>
            </w:r>
          </w:p>
          <w:p w:rsidR="00FC062B" w:rsidRPr="00B865E2" w:rsidRDefault="00FC062B" w:rsidP="00540957">
            <w:pPr>
              <w:ind w:firstLine="469"/>
              <w:jc w:val="both"/>
            </w:pPr>
            <w:r w:rsidRPr="00B865E2">
              <w:rPr>
                <w:bCs/>
                <w:noProof w:val="0"/>
                <w:lang w:val="ru-RU"/>
              </w:rPr>
              <w:t>У КНП «Центральна первинна медична допомога Івано-Франківської міської ради»</w:t>
            </w:r>
            <w:r w:rsidRPr="00B865E2">
              <w:rPr>
                <w:sz w:val="28"/>
                <w:szCs w:val="28"/>
              </w:rPr>
              <w:t xml:space="preserve"> </w:t>
            </w:r>
            <w:r w:rsidRPr="00B865E2">
              <w:t xml:space="preserve">на обліку перебувають 661 особа з інвалідністю; 120 ветеранів. Медична допомога протягом 9 місяців </w:t>
            </w:r>
            <w:r>
              <w:t>2025</w:t>
            </w:r>
            <w:r w:rsidRPr="00B865E2">
              <w:t xml:space="preserve"> року була надана: особам з інвалідністю - 423; ветеранам, в тому числі учасникам бойових дій - 57.</w:t>
            </w:r>
          </w:p>
          <w:p w:rsidR="00FC062B" w:rsidRPr="00B865E2" w:rsidRDefault="00FC062B" w:rsidP="002E3F66">
            <w:pPr>
              <w:pStyle w:val="NormalWeb"/>
              <w:spacing w:before="0" w:beforeAutospacing="0" w:after="0" w:afterAutospacing="0"/>
              <w:ind w:firstLine="469"/>
              <w:jc w:val="both"/>
              <w:rPr>
                <w:lang w:val="uk-UA"/>
              </w:rPr>
            </w:pPr>
            <w:r w:rsidRPr="00B865E2">
              <w:rPr>
                <w:lang w:val="uk-UA"/>
              </w:rPr>
              <w:t>У травні 2025 року в Калуській територіальній громаді тривала робота над формуванням стратегії розвитку безбар</w:t>
            </w:r>
            <w:r w:rsidRPr="00B865E2">
              <w:rPr>
                <w:lang w:val="en-US"/>
              </w:rPr>
              <w:t>’</w:t>
            </w:r>
            <w:r w:rsidRPr="00B865E2">
              <w:rPr>
                <w:lang w:val="uk-UA"/>
              </w:rPr>
              <w:t>єрного простору. До процесу долучилися</w:t>
            </w:r>
            <w:r w:rsidRPr="00B865E2">
              <w:rPr>
                <w:lang w:val="en-US"/>
              </w:rPr>
              <w:t xml:space="preserve"> </w:t>
            </w:r>
            <w:r w:rsidRPr="00B865E2">
              <w:t>представники структурних п</w:t>
            </w:r>
            <w:r w:rsidRPr="00B865E2">
              <w:rPr>
                <w:lang w:val="uk-UA"/>
              </w:rPr>
              <w:t>і</w:t>
            </w:r>
            <w:r w:rsidRPr="00B865E2">
              <w:t>дрозд</w:t>
            </w:r>
            <w:r w:rsidRPr="00B865E2">
              <w:rPr>
                <w:lang w:val="uk-UA"/>
              </w:rPr>
              <w:t>і</w:t>
            </w:r>
            <w:r w:rsidRPr="00B865E2">
              <w:t>л</w:t>
            </w:r>
            <w:r w:rsidRPr="00B865E2">
              <w:rPr>
                <w:lang w:val="uk-UA"/>
              </w:rPr>
              <w:t>ів</w:t>
            </w:r>
            <w:r w:rsidRPr="00B865E2">
              <w:t xml:space="preserve"> Калусько</w:t>
            </w:r>
            <w:r w:rsidRPr="00B865E2">
              <w:rPr>
                <w:lang w:val="uk-UA"/>
              </w:rPr>
              <w:t>ї</w:t>
            </w:r>
            <w:r w:rsidRPr="00B865E2">
              <w:t xml:space="preserve"> м</w:t>
            </w:r>
            <w:r w:rsidRPr="00B865E2">
              <w:rPr>
                <w:lang w:val="uk-UA"/>
              </w:rPr>
              <w:t>і</w:t>
            </w:r>
            <w:r w:rsidRPr="00B865E2">
              <w:t>сько</w:t>
            </w:r>
            <w:r w:rsidRPr="00B865E2">
              <w:rPr>
                <w:lang w:val="uk-UA"/>
              </w:rPr>
              <w:t>ї</w:t>
            </w:r>
            <w:r w:rsidRPr="00B865E2">
              <w:t xml:space="preserve"> ради, в тому числ</w:t>
            </w:r>
            <w:r w:rsidRPr="00B865E2">
              <w:rPr>
                <w:lang w:val="uk-UA"/>
              </w:rPr>
              <w:t>і</w:t>
            </w:r>
            <w:r w:rsidRPr="00B865E2">
              <w:t xml:space="preserve"> служби у справах д</w:t>
            </w:r>
            <w:r w:rsidRPr="00B865E2">
              <w:rPr>
                <w:lang w:val="uk-UA"/>
              </w:rPr>
              <w:t>і</w:t>
            </w:r>
            <w:r w:rsidRPr="00B865E2">
              <w:t>тей, громадсь</w:t>
            </w:r>
            <w:r w:rsidRPr="00B865E2">
              <w:rPr>
                <w:lang w:val="uk-UA"/>
              </w:rPr>
              <w:t>кі</w:t>
            </w:r>
            <w:r w:rsidRPr="00B865E2">
              <w:t xml:space="preserve"> орган</w:t>
            </w:r>
            <w:r w:rsidRPr="00B865E2">
              <w:rPr>
                <w:lang w:val="uk-UA"/>
              </w:rPr>
              <w:t>і</w:t>
            </w:r>
            <w:r w:rsidRPr="00B865E2">
              <w:t>зац</w:t>
            </w:r>
            <w:r w:rsidRPr="00B865E2">
              <w:rPr>
                <w:lang w:val="uk-UA"/>
              </w:rPr>
              <w:t>ії</w:t>
            </w:r>
            <w:r w:rsidRPr="00B865E2">
              <w:t>, а також зац</w:t>
            </w:r>
            <w:r w:rsidRPr="00B865E2">
              <w:rPr>
                <w:lang w:val="uk-UA"/>
              </w:rPr>
              <w:t>і</w:t>
            </w:r>
            <w:r w:rsidRPr="00B865E2">
              <w:t>кавлен</w:t>
            </w:r>
            <w:r w:rsidRPr="00B865E2">
              <w:rPr>
                <w:lang w:val="uk-UA"/>
              </w:rPr>
              <w:t>і мешканці громади. Розробка стратегії здійснюється в межах проекту «Віднова», який реалізує громадська організація «Мережа правового розвитку» у партнерстві з чеською гуманітарною організацією «Людина в біді» за підтримки Чеської агенції розвитку.</w:t>
            </w:r>
          </w:p>
          <w:p w:rsidR="00FC062B" w:rsidRPr="00B865E2" w:rsidRDefault="00FC062B" w:rsidP="002E3F66">
            <w:pPr>
              <w:ind w:firstLine="469"/>
              <w:jc w:val="both"/>
              <w:rPr>
                <w:noProof w:val="0"/>
                <w:lang w:val="ru-RU"/>
              </w:rPr>
            </w:pPr>
            <w:r w:rsidRPr="00B865E2">
              <w:t>У Долинському обласному центрі соціальної підтримки дітей та сімей «Теплий дім» Івано-Франківської обласної ради</w:t>
            </w:r>
            <w:r w:rsidRPr="00B865E2">
              <w:rPr>
                <w:noProof w:val="0"/>
                <w:lang w:val="ru-RU"/>
              </w:rPr>
              <w:t xml:space="preserve"> створене інноваційно-освітньо-виховне й корекційно-реабілітаційне середовище, яке поєднує в собі медичні, психологічні, педагогічні та соціальні впливи на дітей, що забезпечує надання комплексної корекційно-розвивальної допомоги дітям, їх адаптації, соціалізації та інтеграції. </w:t>
            </w:r>
          </w:p>
          <w:p w:rsidR="00FC062B" w:rsidRPr="00B865E2" w:rsidRDefault="00FC062B" w:rsidP="002E3F66">
            <w:pPr>
              <w:ind w:firstLine="469"/>
              <w:jc w:val="both"/>
              <w:rPr>
                <w:noProof w:val="0"/>
                <w:lang w:val="ru-RU"/>
              </w:rPr>
            </w:pPr>
            <w:r w:rsidRPr="00B865E2">
              <w:rPr>
                <w:noProof w:val="0"/>
                <w:lang w:val="ru-RU"/>
              </w:rPr>
              <w:t>Корекційно-розвивальна робота включає різні види терапій: зоотерапія, музикотерапія, релаксація, казкотерапія, арт-терапія, бібліотерапія, кольоротерапія, пісочна та спелеотерапія, психогімнастика, заняття у сенсорній кімнаті, іпотерапії, гідротерапія і каністерапія. Створена потужна матеріально-технічна база, яка забезпечує якісне проведення всіх форм фізкультурно-оздоровчої, лікувально-профілактичної роботи, позитивні результати фізичного розвитку, формування рухових вмінь і навичок, оздоровлення та зниження захворюваності.</w:t>
            </w:r>
          </w:p>
          <w:p w:rsidR="00FC062B" w:rsidRPr="00B865E2" w:rsidRDefault="00FC062B" w:rsidP="00627C1B">
            <w:pPr>
              <w:jc w:val="both"/>
              <w:rPr>
                <w:noProof w:val="0"/>
                <w:lang w:val="ru-RU"/>
              </w:rPr>
            </w:pPr>
            <w:r w:rsidRPr="00B865E2">
              <w:rPr>
                <w:noProof w:val="0"/>
                <w:lang w:val="ru-RU"/>
              </w:rPr>
              <w:t>Організовано комплексну, корекційну, реабілітаційну роботу, яку здійснює команда фахівців: вихователі, медичні працівники, практичний психолог, соціальний педагог, вчителі-дефектологи, вчителі-логопеди, сестра медична з лікувальної фізкультури, фізіотерапії та масажу, інструктор з фізичної культури, спеціаліст з фізичної реабілітації, музичний керівник, вихователь хореографії, інструктор з праці.</w:t>
            </w:r>
          </w:p>
          <w:p w:rsidR="00FC062B" w:rsidRDefault="00FC062B" w:rsidP="008A6EC3">
            <w:pPr>
              <w:ind w:firstLine="469"/>
              <w:jc w:val="both"/>
            </w:pPr>
            <w:r w:rsidRPr="00B865E2">
              <w:t xml:space="preserve">У відділенні денного перебування сімей з дітьми отримують допомогу 8 дітей з інвалідністю, яким, відповідно до висновків інклюзивно-ресурсних центрів, призначені години лікувальної фізкультури із вчителем-реабілітологом </w:t>
            </w:r>
            <w:r>
              <w:br/>
            </w:r>
            <w:r w:rsidRPr="00B865E2">
              <w:t xml:space="preserve">(загалом 16 годин на тиждень). </w:t>
            </w:r>
          </w:p>
          <w:p w:rsidR="00FC062B" w:rsidRPr="00B865E2" w:rsidRDefault="00FC062B" w:rsidP="008A6EC3">
            <w:pPr>
              <w:ind w:firstLine="469"/>
              <w:jc w:val="both"/>
              <w:rPr>
                <w:lang w:val="en-US"/>
              </w:rPr>
            </w:pPr>
          </w:p>
          <w:p w:rsidR="00FC062B" w:rsidRPr="00B865E2" w:rsidRDefault="00FC062B" w:rsidP="008A6EC3">
            <w:pPr>
              <w:ind w:firstLine="469"/>
              <w:jc w:val="both"/>
            </w:pPr>
            <w:r w:rsidRPr="00B865E2">
              <w:t xml:space="preserve">В Городенківській </w:t>
            </w:r>
            <w:r>
              <w:rPr>
                <w:lang w:val="ru-RU"/>
              </w:rPr>
              <w:t>територіальні</w:t>
            </w:r>
            <w:r w:rsidRPr="00B865E2">
              <w:rPr>
                <w:lang w:val="ru-RU"/>
              </w:rPr>
              <w:t>й громад</w:t>
            </w:r>
            <w:r w:rsidRPr="00B865E2">
              <w:t xml:space="preserve">і відкрито відділення денного догляду для дітей з інвалідністю це структурний підрозділ КЗ «Центр соціального обслуговування Городенківської міської ради». </w:t>
            </w:r>
            <w:r w:rsidRPr="00110A25">
              <w:t>Проект реалізовано в межах програми «Право на сім</w:t>
            </w:r>
            <w:r w:rsidRPr="00110A25">
              <w:rPr>
                <w:lang w:val="en-US"/>
              </w:rPr>
              <w:t>’</w:t>
            </w:r>
            <w:r w:rsidRPr="00110A25">
              <w:t>ю» за підтримки благодійної ор</w:t>
            </w:r>
            <w:r>
              <w:t>ганізації «СОС Дитячі містечка». П</w:t>
            </w:r>
            <w:r w:rsidRPr="00B865E2">
              <w:t xml:space="preserve">роведено капітальний ремонт приміщення з урахуванням норм доступності </w:t>
            </w:r>
            <w:r>
              <w:t>та закуплено сучасне обладнання.</w:t>
            </w:r>
          </w:p>
          <w:p w:rsidR="00FC062B" w:rsidRPr="00B865E2" w:rsidRDefault="00FC062B" w:rsidP="008A6EC3">
            <w:pPr>
              <w:pStyle w:val="Heading3"/>
              <w:spacing w:before="0" w:after="0"/>
              <w:ind w:firstLine="46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865E2">
              <w:rPr>
                <w:rFonts w:ascii="Times New Roman" w:hAnsi="Times New Roman"/>
                <w:b w:val="0"/>
                <w:sz w:val="24"/>
                <w:szCs w:val="24"/>
              </w:rPr>
              <w:t>Відділення «Ветеранський простір» КУ «Центр соціальних послуг Рогатинської міської ради» спрямовує осіб з інвалідністю та ветеранів війни для отримання реабілітаційних послуг в реабілітаційний центр «Крила надії»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Pr="00B865E2">
              <w:rPr>
                <w:rFonts w:ascii="Times New Roman" w:hAnsi="Times New Roman"/>
                <w:b w:val="0"/>
                <w:sz w:val="24"/>
                <w:szCs w:val="24"/>
              </w:rPr>
              <w:t xml:space="preserve"> У відділенні стаціонарного догляду для постійного та тимчасового проживання с. Данильче для осіб з інвалідністю проводяться заходи для покращення здоров</w:t>
            </w:r>
            <w:r w:rsidRPr="00B865E2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’</w:t>
            </w:r>
            <w:r w:rsidRPr="00B865E2">
              <w:rPr>
                <w:rFonts w:ascii="Times New Roman" w:hAnsi="Times New Roman"/>
                <w:b w:val="0"/>
                <w:sz w:val="24"/>
                <w:szCs w:val="24"/>
              </w:rPr>
              <w:t xml:space="preserve">я. </w:t>
            </w:r>
          </w:p>
          <w:p w:rsidR="00FC062B" w:rsidRPr="00B865E2" w:rsidRDefault="00FC062B" w:rsidP="008A6EC3">
            <w:pPr>
              <w:ind w:firstLine="469"/>
              <w:rPr>
                <w:lang w:eastAsia="uk-UA"/>
              </w:rPr>
            </w:pPr>
            <w:r w:rsidRPr="00B865E2">
              <w:rPr>
                <w:lang w:eastAsia="uk-UA"/>
              </w:rPr>
              <w:t>В КНП «Коломийська Центральна районна лікарня» Коломийської міської ради запроваджено надання реабілітаційних послуг для військовослужбовців та осіб з інвалідністю внаслідок війни.</w:t>
            </w:r>
          </w:p>
          <w:p w:rsidR="00FC062B" w:rsidRPr="00B865E2" w:rsidRDefault="00FC062B" w:rsidP="008A6EC3">
            <w:pPr>
              <w:ind w:firstLine="469"/>
              <w:jc w:val="both"/>
            </w:pPr>
            <w:r w:rsidRPr="00B865E2">
              <w:rPr>
                <w:lang w:eastAsia="uk-UA"/>
              </w:rPr>
              <w:t xml:space="preserve"> У відділенні КНП «Верховинська багатопрофільна лікарня» Верховинської селищної ради продовжується  капітальний ремонт реабілітаційного відділення. На даний час у відділенні функціонує вже три палати.</w:t>
            </w:r>
          </w:p>
          <w:p w:rsidR="00FC062B" w:rsidRPr="00B865E2" w:rsidRDefault="00FC062B" w:rsidP="002C4C32">
            <w:pPr>
              <w:ind w:firstLine="469"/>
              <w:jc w:val="both"/>
            </w:pPr>
            <w:r w:rsidRPr="00B865E2">
              <w:t>Впродовж 2025 року забезпечено оздоровленням та відпочинком 26 дітей з інвалідністю в обласних закладах оздоровлення та відпочинку.</w:t>
            </w:r>
          </w:p>
          <w:p w:rsidR="00FC062B" w:rsidRDefault="00FC062B" w:rsidP="00110A25">
            <w:pPr>
              <w:ind w:firstLine="469"/>
              <w:jc w:val="both"/>
              <w:rPr>
                <w:bCs/>
                <w:lang w:val="ru-RU"/>
              </w:rPr>
            </w:pPr>
            <w:bookmarkStart w:id="0" w:name="_Hlk166055493"/>
            <w:r w:rsidRPr="00B865E2">
              <w:rPr>
                <w:bCs/>
                <w:lang w:val="ru-RU"/>
              </w:rPr>
              <w:t xml:space="preserve">Відшкодування вартості реабілітаційних заходів для дітей з інвалідністю здійснюється за рахунок коштів Державного бюджету. </w:t>
            </w:r>
          </w:p>
          <w:p w:rsidR="00FC062B" w:rsidRPr="002C4C32" w:rsidRDefault="00FC062B" w:rsidP="00110A25">
            <w:pPr>
              <w:ind w:firstLine="469"/>
              <w:jc w:val="both"/>
              <w:rPr>
                <w:lang w:eastAsia="uk-UA"/>
              </w:rPr>
            </w:pPr>
            <w:r w:rsidRPr="00B865E2">
              <w:t>На 202</w:t>
            </w:r>
            <w:r w:rsidRPr="00B865E2">
              <w:rPr>
                <w:lang w:val="ru-RU"/>
              </w:rPr>
              <w:t>5</w:t>
            </w:r>
            <w:r w:rsidRPr="00B865E2">
              <w:t xml:space="preserve"> рік на реабілітацію дітей з інвалідністю в Івано-Франківській області</w:t>
            </w:r>
            <w:r w:rsidRPr="00B865E2">
              <w:rPr>
                <w:lang w:val="ru-RU"/>
              </w:rPr>
              <w:t xml:space="preserve"> виділено 15</w:t>
            </w:r>
            <w:r w:rsidRPr="00B865E2">
              <w:t xml:space="preserve">,5 млн. гривень. </w:t>
            </w:r>
            <w:bookmarkEnd w:id="0"/>
            <w:r w:rsidRPr="00B865E2">
              <w:rPr>
                <w:bCs/>
              </w:rPr>
              <w:t xml:space="preserve">З початку року укладено 688 </w:t>
            </w:r>
            <w:r>
              <w:rPr>
                <w:bCs/>
              </w:rPr>
              <w:t>договорів на суму 13,1 млн. гривень,</w:t>
            </w:r>
            <w:r w:rsidRPr="00B865E2">
              <w:rPr>
                <w:bCs/>
              </w:rPr>
              <w:t xml:space="preserve"> 493 дитини отримали реабілітаційні послуги на суму 9,5 млн. гр</w:t>
            </w:r>
            <w:r>
              <w:rPr>
                <w:bCs/>
              </w:rPr>
              <w:t>ивень.</w:t>
            </w:r>
          </w:p>
        </w:tc>
      </w:tr>
      <w:tr w:rsidR="00FC062B" w:rsidTr="00D76CC4">
        <w:trPr>
          <w:trHeight w:val="4830"/>
        </w:trPr>
        <w:tc>
          <w:tcPr>
            <w:tcW w:w="5762" w:type="dxa"/>
          </w:tcPr>
          <w:p w:rsidR="00FC062B" w:rsidRPr="003D410C" w:rsidRDefault="00FC062B" w:rsidP="00424D5D">
            <w:pPr>
              <w:spacing w:before="100" w:beforeAutospacing="1" w:after="100" w:afterAutospacing="1"/>
            </w:pPr>
            <w:r>
              <w:t>Сприяння зайнятості осіб з інвалідністю в т.ч. компенсаційних витрат роботодавцям.</w:t>
            </w:r>
          </w:p>
        </w:tc>
        <w:tc>
          <w:tcPr>
            <w:tcW w:w="9080" w:type="dxa"/>
          </w:tcPr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536"/>
              <w:jc w:val="both"/>
            </w:pPr>
            <w:r w:rsidRPr="006145F3">
              <w:t xml:space="preserve">Впродовж січня - вересня 2025 року профорієнтаційними послугами охоплено 1038 осіб з інвалідністю з числа безробітних; всього особам з інвалідністю надано 3677 послуг, серед яких 1706 профінформаційних послуг, 1937 профконсультаційних послуг, 34 – по профвідбору. 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536"/>
              <w:jc w:val="both"/>
            </w:pPr>
            <w:r w:rsidRPr="006145F3">
              <w:t>Особи з інвалідністю приймають участь в різноманітних профорієнтаційних заходах, які проводяться службою зайнятості, зокрема тренінгах з розвитку навичок «</w:t>
            </w:r>
            <w:r w:rsidRPr="006145F3">
              <w:rPr>
                <w:lang w:val="en-US"/>
              </w:rPr>
              <w:t>Soft</w:t>
            </w:r>
            <w:r w:rsidRPr="006145F3">
              <w:t xml:space="preserve"> </w:t>
            </w:r>
            <w:r w:rsidRPr="006145F3">
              <w:rPr>
                <w:lang w:val="en-US"/>
              </w:rPr>
              <w:t>skills</w:t>
            </w:r>
            <w:r w:rsidRPr="006145F3">
              <w:t xml:space="preserve">» (цикл тренінгів) «Повір у себе».      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536"/>
              <w:jc w:val="both"/>
              <w:rPr>
                <w:lang w:val="en-US"/>
              </w:rPr>
            </w:pPr>
            <w:r w:rsidRPr="006145F3">
              <w:t xml:space="preserve">Під час інформаційних заходів громадяни з інвалідністю ознайомлюються з технікою пошуку роботи та особливостями працевлаштування в сучасних умовах. Такі заходи проводяться і в медичних реабілітаційних закладах та реабілітаційних центрах області для ветеранів, які проходять курс відновлення, в тому числі для тих, хто має інвалідність. Їм надається інформація про цивільні професії, соціальні гарантії, можливості реалізації себе у професійній діяльності,  щодо програм сприяння зайнятості населення, зокрема таких як навчання, ваучери та грантова підтримка розвитку бізнесу. Впродовж 9 місяців цього року фахівцями служби зайнятості в медичних реабілітаційних закладах  проведено 76 заходів для  577 учасників, в тому числі для осіб з інвалідністю, з них - 73 семінари та 3 групові консультації.  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536"/>
              <w:jc w:val="both"/>
              <w:rPr>
                <w:shd w:val="clear" w:color="auto" w:fill="FFFFFF"/>
              </w:rPr>
            </w:pPr>
            <w:r w:rsidRPr="006145F3">
              <w:t xml:space="preserve">  Служба зайнятості активно реалізує урядові програми, спрямовані на </w:t>
            </w:r>
            <w:r w:rsidRPr="006145F3">
              <w:rPr>
                <w:shd w:val="clear" w:color="auto" w:fill="FFFFFF"/>
              </w:rPr>
              <w:t xml:space="preserve"> економічне стимулювання роботодавців до збереження та створення нових робочих місць шляхом надання роботодавцям компенсацій, у разі працевлаштування окремих категорій громадян, зокрема, осіб з інвалідністю.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536"/>
              <w:jc w:val="both"/>
            </w:pPr>
            <w:r w:rsidRPr="006145F3">
              <w:t xml:space="preserve"> Однією із таких програм є надання роботодавцям компенсації фактичних витрат за облаштування робочих місць працевлаштованих осіб з інвалідністю І або ІІ групи з числа застрахованих осіб. Впродовж 9 місяців цього року роботодавці області отримали компенсацію за облаштування 126  робочих місць.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536"/>
              <w:jc w:val="both"/>
            </w:pPr>
            <w:r w:rsidRPr="006145F3">
              <w:t xml:space="preserve">Також, проводиться робота щодо реалізації інших програм сприяння </w:t>
            </w:r>
            <w:r>
              <w:t>зайнятості людей з інвалідністю.  З</w:t>
            </w:r>
            <w:r w:rsidRPr="006145F3">
              <w:t xml:space="preserve">окрема, в січні - вересні 2025 року 25 роботодавців області отримали компенсацію єдиного внеску на загальнообов’язкове державне соціальне страхування та  компенсацію у розмірі 50 відсотків фактичних витрат на оплату праці працевлаштованих 25 безробітних з інвалідністю. Фінансування цих видів компенсацій здійснювалось за рахунок коштів Фонду соціального захисту осіб з інвалідністю.  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469"/>
              <w:jc w:val="both"/>
            </w:pPr>
            <w:r w:rsidRPr="006145F3">
              <w:t xml:space="preserve">Служба зайнятості сприяє людям з інвалідністю у відкритті та розвитку власного бізнесу. Для ознайомлення  з поняттями бізнес-ідеї та бізнес-плану вони залучаються до проведення профорієнтаційних заходів на тему «Генеруй бізнес-ідею та розпочни свій бізнес». Також особи з інвалідністю, які бажають створити або розвивати власний бізнес, долучаються до участі в урядовій програмі «Власна справа». Фахівці служби зайнятості надають їм консультації щодо механізму отримання мікрогрантів, грантів, написання бізнес-планів. В цьому році на започаткування  та розвиток власного бізнесу 48 осіб з інвалідністю отримали мікрогранти  та 14  осіб з інвалідністю отримали гранти. 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469"/>
              <w:jc w:val="both"/>
            </w:pPr>
            <w:r w:rsidRPr="006145F3">
              <w:t>Впродовж  9 місяців цього року послуги служби зайнятості отримували 1228 осіб з інвалідністю, із них 1069 осіб мали с</w:t>
            </w:r>
            <w:r w:rsidRPr="006145F3">
              <w:rPr>
                <w:bCs/>
              </w:rPr>
              <w:t xml:space="preserve">татус безробітного. </w:t>
            </w:r>
            <w:r w:rsidRPr="006145F3">
              <w:t xml:space="preserve">За сприяння служби зайнятості працевлаштовано 374 особи, рівень працевлаштування осіб з інвалідністю становить 30% при середньому значенні по Україні – 23%. 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469"/>
              <w:jc w:val="both"/>
            </w:pPr>
            <w:r w:rsidRPr="006145F3">
              <w:t>З метою підвищення конкурентоздатності на ринку праці 147 осіб з інвалідністю проходили професійне навчання. Ваучер на навчання та підвищення кваліфікації отримали 72</w:t>
            </w:r>
            <w:r w:rsidRPr="006145F3">
              <w:rPr>
                <w:b/>
              </w:rPr>
              <w:t xml:space="preserve"> </w:t>
            </w:r>
            <w:r w:rsidRPr="006145F3">
              <w:t xml:space="preserve">особи з інвалідністю. </w:t>
            </w:r>
          </w:p>
          <w:p w:rsidR="00FC062B" w:rsidRPr="006145F3" w:rsidRDefault="00FC062B" w:rsidP="00CA492E">
            <w:pPr>
              <w:pBdr>
                <w:bottom w:val="single" w:sz="12" w:space="31" w:color="FFFFFF"/>
              </w:pBdr>
              <w:ind w:firstLine="469"/>
              <w:jc w:val="both"/>
            </w:pPr>
            <w:r w:rsidRPr="006145F3">
              <w:t>В громадських та інших роботах тимчасового характеру брали участь 29 осіб з інвалідністю.</w:t>
            </w:r>
          </w:p>
          <w:p w:rsidR="00FC062B" w:rsidRPr="00EE7514" w:rsidRDefault="00FC062B" w:rsidP="0063161B">
            <w:pPr>
              <w:pBdr>
                <w:bottom w:val="single" w:sz="12" w:space="31" w:color="FFFFFF"/>
              </w:pBdr>
              <w:ind w:firstLine="340"/>
              <w:jc w:val="both"/>
            </w:pPr>
            <w:r w:rsidRPr="006145F3">
              <w:t>Станом на 01.10.2025 року послуги служби зайнятості отримували 304 особи з інвалідністю, які мають статус безробітного.</w:t>
            </w:r>
            <w:r w:rsidRPr="00A74DBE">
              <w:rPr>
                <w:i/>
              </w:rPr>
              <w:t xml:space="preserve"> </w:t>
            </w:r>
          </w:p>
        </w:tc>
      </w:tr>
      <w:tr w:rsidR="00FC062B" w:rsidTr="00DD6D55">
        <w:tc>
          <w:tcPr>
            <w:tcW w:w="5762" w:type="dxa"/>
          </w:tcPr>
          <w:p w:rsidR="00FC062B" w:rsidRPr="00FF4916" w:rsidRDefault="00FC062B" w:rsidP="007E2B1D">
            <w:r w:rsidRPr="00FF4916">
              <w:t>Проведення   експертизи щодо врахування   норм доступності для МГН в технічній документації для об’єктів будівництва.</w:t>
            </w:r>
          </w:p>
        </w:tc>
        <w:tc>
          <w:tcPr>
            <w:tcW w:w="9080" w:type="dxa"/>
          </w:tcPr>
          <w:p w:rsidR="00FC062B" w:rsidRDefault="00FC062B" w:rsidP="001041C6">
            <w:pPr>
              <w:ind w:firstLine="160"/>
              <w:jc w:val="both"/>
              <w:rPr>
                <w:i/>
              </w:rPr>
            </w:pPr>
            <w:r w:rsidRPr="006145F3">
              <w:t>За період з 01 січня по 25 вересня 2025 року філією ДП «Укрдержбудекспертиза»   у Івано-Франківській області  проведено експертиз інвестиційних програм і проектів будівництва – 95, з яких 74 – експертизи інвестиційних програм і проектів будівництва, в яких враховувались протреби осіб з інвалідністю</w:t>
            </w:r>
            <w:r w:rsidRPr="00391AAA">
              <w:rPr>
                <w:i/>
              </w:rPr>
              <w:t xml:space="preserve">. </w:t>
            </w:r>
          </w:p>
          <w:p w:rsidR="00FC062B" w:rsidRPr="00391AAA" w:rsidRDefault="00FC062B" w:rsidP="001041C6">
            <w:pPr>
              <w:ind w:firstLine="160"/>
              <w:jc w:val="both"/>
              <w:rPr>
                <w:i/>
              </w:rPr>
            </w:pPr>
          </w:p>
        </w:tc>
      </w:tr>
      <w:tr w:rsidR="00FC062B" w:rsidTr="00DD6D55">
        <w:tc>
          <w:tcPr>
            <w:tcW w:w="5762" w:type="dxa"/>
          </w:tcPr>
          <w:p w:rsidR="00FC062B" w:rsidRPr="00FF4916" w:rsidRDefault="00FC062B" w:rsidP="007E2B1D">
            <w:r>
              <w:t>Забезпечення підвищення рівня обізнаності державних службовців та посадових осіб місцевого самоврядування щодо прав осіб з інвалідністю, універсального дизайну і доступності.</w:t>
            </w:r>
          </w:p>
        </w:tc>
        <w:tc>
          <w:tcPr>
            <w:tcW w:w="9080" w:type="dxa"/>
          </w:tcPr>
          <w:p w:rsidR="00FC062B" w:rsidRPr="001C26ED" w:rsidRDefault="00FC062B" w:rsidP="00424D5D">
            <w:pPr>
              <w:ind w:firstLine="160"/>
              <w:jc w:val="both"/>
            </w:pPr>
            <w:r w:rsidRPr="001C26ED">
              <w:t>Івано-Франківським регіональним центром підвищення кваліфікації за 9-ть місяців 2025 року забезпечено підвищення рівня обізнаності державних службовців та посадових осіб місцевого самоврядування щодо прав осіб з інвалідністю, універсального дизайну і доступності за загальною короткостроковою програмою підвищення кваліфікації «Захист прав осіб з інвалідністю  у рамках реалізації Національної стратегії зі створення безбар'єрного простору в Україні», за якою підвищили кваліфікацію 73 особи</w:t>
            </w:r>
            <w:r w:rsidRPr="001C26ED">
              <w:rPr>
                <w:b/>
              </w:rPr>
              <w:t>,</w:t>
            </w:r>
            <w:r w:rsidRPr="001C26ED">
              <w:t xml:space="preserve"> з яких: 27- державних службовців; 45 - посадові особи місцевого самоврядування та 1- особа  іншої категорії. </w:t>
            </w:r>
          </w:p>
          <w:p w:rsidR="00FC062B" w:rsidRDefault="00FC062B" w:rsidP="00424D5D">
            <w:pPr>
              <w:ind w:firstLine="160"/>
            </w:pPr>
          </w:p>
        </w:tc>
      </w:tr>
      <w:tr w:rsidR="00FC062B" w:rsidTr="00DD6D55">
        <w:tc>
          <w:tcPr>
            <w:tcW w:w="5762" w:type="dxa"/>
          </w:tcPr>
          <w:p w:rsidR="00FC062B" w:rsidRPr="00FF4916" w:rsidRDefault="00FC062B" w:rsidP="007E2B1D">
            <w:r w:rsidRPr="00FF4916">
              <w:t>Проведення фінансування витрат на навчання осіб з інвалідністю у вищих навчальних закладах України за рахунок коштів Фонду соціального захисту</w:t>
            </w:r>
            <w:r>
              <w:t>.</w:t>
            </w:r>
            <w:r w:rsidRPr="00FF4916">
              <w:t xml:space="preserve"> інвалідів та заходів фізкультурно-спортивної реабілітації осіб з інвалідністю.</w:t>
            </w:r>
          </w:p>
        </w:tc>
        <w:tc>
          <w:tcPr>
            <w:tcW w:w="9080" w:type="dxa"/>
          </w:tcPr>
          <w:p w:rsidR="00FC062B" w:rsidRPr="008D7FD3" w:rsidRDefault="00FC062B" w:rsidP="00424D5D">
            <w:pPr>
              <w:ind w:firstLine="227"/>
              <w:jc w:val="both"/>
            </w:pPr>
            <w:r w:rsidRPr="008D7FD3">
              <w:rPr>
                <w:szCs w:val="28"/>
              </w:rPr>
              <w:t xml:space="preserve"> У звітному періоді, за рахунок коштів Івано-Франківського обласного відділення фонду соціального захисту осіб з інвалідністю (далі – Фонд</w:t>
            </w:r>
            <w:r w:rsidRPr="008D7FD3">
              <w:t xml:space="preserve">), профінансовано </w:t>
            </w:r>
            <w:r w:rsidRPr="008D7FD3">
              <w:br/>
            </w:r>
            <w:r w:rsidRPr="008D7FD3">
              <w:rPr>
                <w:color w:val="000000"/>
              </w:rPr>
              <w:t xml:space="preserve">112750 </w:t>
            </w:r>
            <w:r w:rsidRPr="008D7FD3">
              <w:t xml:space="preserve">грн. на оплату навчання </w:t>
            </w:r>
            <w:r w:rsidRPr="008D7FD3">
              <w:rPr>
                <w:color w:val="000000"/>
              </w:rPr>
              <w:t>10</w:t>
            </w:r>
            <w:r>
              <w:t xml:space="preserve"> осо</w:t>
            </w:r>
            <w:r w:rsidRPr="008D7FD3">
              <w:t>б</w:t>
            </w:r>
            <w:r>
              <w:t>ам</w:t>
            </w:r>
            <w:r w:rsidRPr="008D7FD3">
              <w:t xml:space="preserve"> з інвалідністю в навчальних закладах.</w:t>
            </w:r>
            <w:r w:rsidRPr="008D7FD3">
              <w:rPr>
                <w:sz w:val="28"/>
                <w:szCs w:val="28"/>
              </w:rPr>
              <w:t xml:space="preserve"> </w:t>
            </w:r>
            <w:r w:rsidRPr="008D7FD3">
              <w:t>Працевлаштовано 2 випускники закладів вищої освіти, які навчались за кошти Фонду.</w:t>
            </w:r>
          </w:p>
          <w:p w:rsidR="00FC062B" w:rsidRPr="008D7FD3" w:rsidRDefault="00FC062B" w:rsidP="00424D5D">
            <w:pPr>
              <w:ind w:right="38"/>
              <w:jc w:val="both"/>
              <w:rPr>
                <w:szCs w:val="28"/>
              </w:rPr>
            </w:pPr>
            <w:r w:rsidRPr="008D7FD3">
              <w:rPr>
                <w:szCs w:val="28"/>
              </w:rPr>
              <w:t xml:space="preserve">  Профінансовано та фактично забезпечено технічними засобами реабілітації осіб з інвалідністю та інших окремих категорій населення (в. т. ч. виплата грошової компенсації за самостійно придбані технічні засоби реабілітації) на суму </w:t>
            </w:r>
            <w:r w:rsidRPr="008D7FD3">
              <w:rPr>
                <w:szCs w:val="28"/>
              </w:rPr>
              <w:br/>
              <w:t>184611185 гривень, зокрема,</w:t>
            </w:r>
            <w:r w:rsidRPr="008D7FD3">
              <w:t xml:space="preserve"> 1608 осіб – протезно-ортопедичні вироби; 1518 осіб – протези молочної залози; 5384 особи – ортопедичне взуття; 349 осіб – </w:t>
            </w:r>
            <w:r w:rsidRPr="008D7FD3">
              <w:rPr>
                <w:szCs w:val="28"/>
              </w:rPr>
              <w:t>засоби для пересування (крісла колісні);  541 особа – засоби для реабілітації;  143 особи – ремонт допоміжних засобів реабілітації.</w:t>
            </w:r>
          </w:p>
          <w:p w:rsidR="00FC062B" w:rsidRPr="008D7FD3" w:rsidRDefault="00FC062B" w:rsidP="00424D5D">
            <w:pPr>
              <w:ind w:right="38" w:firstLine="227"/>
              <w:jc w:val="both"/>
              <w:rPr>
                <w:szCs w:val="28"/>
              </w:rPr>
            </w:pPr>
            <w:r w:rsidRPr="008D7FD3">
              <w:rPr>
                <w:szCs w:val="28"/>
              </w:rPr>
              <w:t>Станом на 01.10.2025 року за результатами проведеного Фондом моніторингу та претензійно-позовної роботи, за невиконання 4% нормативу по працевлаштуванню осіб з інвалідністю, роботодавцями перераховано до державного бюджету адміністративно господарські санкції на суму 3,7 млн.гривень.</w:t>
            </w:r>
          </w:p>
          <w:p w:rsidR="00FC062B" w:rsidRDefault="00FC062B" w:rsidP="00424D5D">
            <w:pPr>
              <w:ind w:firstLine="227"/>
            </w:pPr>
          </w:p>
        </w:tc>
      </w:tr>
      <w:tr w:rsidR="00FC062B" w:rsidTr="00DD6D55">
        <w:tc>
          <w:tcPr>
            <w:tcW w:w="5762" w:type="dxa"/>
          </w:tcPr>
          <w:p w:rsidR="00FC062B" w:rsidRPr="00424D5D" w:rsidRDefault="00FC062B" w:rsidP="00424D5D">
            <w:pPr>
              <w:ind w:right="38"/>
              <w:jc w:val="both"/>
              <w:rPr>
                <w:b/>
                <w:color w:val="000000"/>
                <w:szCs w:val="28"/>
              </w:rPr>
            </w:pPr>
            <w:r w:rsidRPr="00424D5D">
              <w:rPr>
                <w:szCs w:val="28"/>
              </w:rPr>
              <w:t>Моніторинг</w:t>
            </w:r>
            <w:r w:rsidRPr="00424D5D">
              <w:rPr>
                <w:color w:val="000000"/>
                <w:szCs w:val="28"/>
              </w:rPr>
              <w:t xml:space="preserve"> обстеження та оцінки ступеня безбар’єрності об’єктів фізичного оточення і послуг для осіб з інвалідністю на території області</w:t>
            </w:r>
            <w:r w:rsidRPr="00424D5D">
              <w:rPr>
                <w:b/>
                <w:color w:val="000000"/>
                <w:szCs w:val="28"/>
              </w:rPr>
              <w:t xml:space="preserve">.  </w:t>
            </w:r>
          </w:p>
          <w:p w:rsidR="00FC062B" w:rsidRPr="00FF4916" w:rsidRDefault="00FC062B" w:rsidP="007E2B1D"/>
        </w:tc>
        <w:tc>
          <w:tcPr>
            <w:tcW w:w="9080" w:type="dxa"/>
          </w:tcPr>
          <w:p w:rsidR="00FC062B" w:rsidRPr="00424D5D" w:rsidRDefault="00FC062B" w:rsidP="00424D5D">
            <w:pPr>
              <w:ind w:right="38" w:firstLine="268"/>
              <w:jc w:val="both"/>
              <w:rPr>
                <w:color w:val="000000"/>
                <w:szCs w:val="28"/>
              </w:rPr>
            </w:pPr>
            <w:r w:rsidRPr="00424D5D">
              <w:rPr>
                <w:szCs w:val="28"/>
              </w:rPr>
              <w:t>Управління містобудування та архітектури департаменту</w:t>
            </w:r>
            <w:r w:rsidRPr="00424D5D">
              <w:rPr>
                <w:color w:val="000000"/>
                <w:szCs w:val="28"/>
              </w:rPr>
              <w:t xml:space="preserve"> відповідно до інформації наданої місцевими органами з питань містобудування та архітектури впродовж звітного періоду</w:t>
            </w:r>
            <w:r w:rsidRPr="00424D5D">
              <w:rPr>
                <w:szCs w:val="28"/>
              </w:rPr>
              <w:t xml:space="preserve"> здійснювало моніторинг</w:t>
            </w:r>
            <w:r w:rsidRPr="00424D5D">
              <w:rPr>
                <w:color w:val="000000"/>
                <w:szCs w:val="28"/>
              </w:rPr>
              <w:t xml:space="preserve"> обстеження та оцінки ступеня безбар’єрності об’єктів фізичного оточення і послуг для осіб з інвалідністю на території області.  </w:t>
            </w:r>
          </w:p>
          <w:p w:rsidR="00FC062B" w:rsidRDefault="00FC062B" w:rsidP="00424D5D">
            <w:pPr>
              <w:ind w:right="38" w:firstLine="268"/>
              <w:jc w:val="both"/>
              <w:rPr>
                <w:szCs w:val="28"/>
              </w:rPr>
            </w:pPr>
            <w:r w:rsidRPr="00424D5D">
              <w:rPr>
                <w:iCs/>
                <w:szCs w:val="28"/>
              </w:rPr>
              <w:t xml:space="preserve">Впродовж звітного періоду обстежено </w:t>
            </w:r>
            <w:r>
              <w:rPr>
                <w:szCs w:val="28"/>
              </w:rPr>
              <w:t>4910</w:t>
            </w:r>
            <w:r w:rsidRPr="00424D5D">
              <w:rPr>
                <w:iCs/>
                <w:szCs w:val="28"/>
              </w:rPr>
              <w:t xml:space="preserve"> об'єкт </w:t>
            </w:r>
            <w:r w:rsidRPr="00424D5D">
              <w:rPr>
                <w:szCs w:val="28"/>
              </w:rPr>
              <w:t>фізичного оточення для осіб з інвалідністю та інших маломобільних груп населення, а саме: будівлі для розміщення евакуйованих осіб (гуртожитки, тощо); адміністративні будівлі; будівлі надавачів соціальних послуг; центри зайнятості; фінансові установи (банки, поштові відділення, страхові компанії, недержавні пенсійні фонди, інвестиційні ф</w:t>
            </w:r>
            <w:r>
              <w:rPr>
                <w:szCs w:val="28"/>
              </w:rPr>
              <w:t>онди); об</w:t>
            </w:r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>єкти транспортної інфраструктури;</w:t>
            </w:r>
            <w:r w:rsidRPr="004F3715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з</w:t>
            </w:r>
            <w:r w:rsidRPr="004F3715">
              <w:rPr>
                <w:color w:val="000000"/>
                <w:lang w:eastAsia="en-US"/>
              </w:rPr>
              <w:t>упинки громадського транспорту</w:t>
            </w:r>
            <w:r>
              <w:rPr>
                <w:color w:val="000000"/>
                <w:lang w:eastAsia="en-US"/>
              </w:rPr>
              <w:t>; вулиі та дороги.</w:t>
            </w:r>
          </w:p>
          <w:p w:rsidR="00FC062B" w:rsidRPr="00681D5E" w:rsidRDefault="00FC062B" w:rsidP="00816B2D">
            <w:pPr>
              <w:spacing w:after="120"/>
              <w:ind w:firstLine="567"/>
              <w:jc w:val="both"/>
            </w:pPr>
            <w:r w:rsidRPr="00681D5E">
              <w:t>Кількість територіальних громад, що провели оцінку ступеня безбар’єрності об’єктів фізичного оточення для осіб з інвалідністю:</w:t>
            </w:r>
            <w:r>
              <w:t xml:space="preserve"> </w:t>
            </w:r>
            <w:r w:rsidRPr="00850825">
              <w:rPr>
                <w:u w:val="single"/>
              </w:rPr>
              <w:t>43</w:t>
            </w:r>
          </w:p>
          <w:p w:rsidR="00FC062B" w:rsidRDefault="00FC062B" w:rsidP="00424D5D">
            <w:pPr>
              <w:ind w:right="38" w:firstLine="268"/>
              <w:jc w:val="both"/>
              <w:rPr>
                <w:szCs w:val="28"/>
              </w:rPr>
            </w:pPr>
            <w:r w:rsidRPr="00424D5D">
              <w:rPr>
                <w:szCs w:val="28"/>
              </w:rPr>
              <w:t xml:space="preserve"> Результати моніторингу наведено у таблиці:</w:t>
            </w:r>
          </w:p>
          <w:p w:rsidR="00FC062B" w:rsidRDefault="00FC062B" w:rsidP="00816B2D">
            <w:pPr>
              <w:spacing w:after="120"/>
              <w:jc w:val="center"/>
            </w:pPr>
          </w:p>
          <w:p w:rsidR="00FC062B" w:rsidRDefault="00FC062B" w:rsidP="00816B2D">
            <w:pPr>
              <w:spacing w:after="120"/>
              <w:jc w:val="center"/>
            </w:pPr>
          </w:p>
          <w:p w:rsidR="00FC062B" w:rsidRDefault="00FC062B" w:rsidP="00816B2D">
            <w:pPr>
              <w:spacing w:after="120"/>
              <w:jc w:val="center"/>
            </w:pPr>
          </w:p>
          <w:p w:rsidR="00FC062B" w:rsidRDefault="00FC062B" w:rsidP="00816B2D">
            <w:pPr>
              <w:spacing w:after="120"/>
              <w:jc w:val="center"/>
            </w:pPr>
          </w:p>
          <w:p w:rsidR="00FC062B" w:rsidRPr="00312E20" w:rsidRDefault="00FC062B" w:rsidP="00816B2D">
            <w:pPr>
              <w:spacing w:after="120"/>
              <w:jc w:val="center"/>
            </w:pPr>
            <w:r w:rsidRPr="00312E20">
              <w:t>Кількість об’єктів фізичного оточення, які оцінено</w:t>
            </w:r>
          </w:p>
          <w:tbl>
            <w:tblPr>
              <w:tblW w:w="9464" w:type="dxa"/>
              <w:tblLayout w:type="fixed"/>
              <w:tblLook w:val="00A0"/>
            </w:tblPr>
            <w:tblGrid>
              <w:gridCol w:w="330"/>
              <w:gridCol w:w="2613"/>
              <w:gridCol w:w="1139"/>
              <w:gridCol w:w="1206"/>
              <w:gridCol w:w="1273"/>
              <w:gridCol w:w="1273"/>
              <w:gridCol w:w="1630"/>
            </w:tblGrid>
            <w:tr w:rsidR="00FC062B" w:rsidRPr="00C710DD" w:rsidTr="00816B2D">
              <w:trPr>
                <w:trHeight w:val="516"/>
                <w:tblHeader/>
              </w:trPr>
              <w:tc>
                <w:tcPr>
                  <w:tcW w:w="2943" w:type="dxa"/>
                  <w:gridSpan w:val="2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Тип об’єкта*</w:t>
                  </w:r>
                </w:p>
              </w:tc>
              <w:tc>
                <w:tcPr>
                  <w:tcW w:w="113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  <w:t xml:space="preserve">Загальна кількість </w:t>
                  </w:r>
                </w:p>
              </w:tc>
              <w:tc>
                <w:tcPr>
                  <w:tcW w:w="1206" w:type="dxa"/>
                  <w:vMerge w:val="restar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816B2D">
                  <w:pPr>
                    <w:pStyle w:val="a0"/>
                    <w:spacing w:before="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  <w:t>Кількість обсте</w:t>
                  </w: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-</w:t>
                  </w:r>
                </w:p>
                <w:p w:rsidR="00FC062B" w:rsidRPr="004F3715" w:rsidRDefault="00FC062B" w:rsidP="00816B2D">
                  <w:pPr>
                    <w:pStyle w:val="a0"/>
                    <w:spacing w:before="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  <w:t>жен</w:t>
                  </w: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их</w:t>
                  </w:r>
                </w:p>
              </w:tc>
              <w:tc>
                <w:tcPr>
                  <w:tcW w:w="417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062B" w:rsidRPr="004F3715" w:rsidRDefault="00FC062B" w:rsidP="00816B2D">
                  <w:pPr>
                    <w:pStyle w:val="a0"/>
                    <w:spacing w:before="60" w:after="60"/>
                    <w:ind w:left="-79" w:right="383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 xml:space="preserve">Ступінь </w:t>
                  </w: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  <w:t>безбар’єрності, відсотків</w:t>
                  </w:r>
                </w:p>
              </w:tc>
            </w:tr>
            <w:tr w:rsidR="00FC062B" w:rsidRPr="00C710DD" w:rsidTr="00B14D7E">
              <w:trPr>
                <w:trHeight w:val="138"/>
                <w:tblHeader/>
              </w:trPr>
              <w:tc>
                <w:tcPr>
                  <w:tcW w:w="2943" w:type="dxa"/>
                  <w:gridSpan w:val="2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1139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120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  <w:t>безбар’єрні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  <w:t>частково безбар’єрні</w:t>
                  </w:r>
                </w:p>
              </w:tc>
              <w:tc>
                <w:tcPr>
                  <w:tcW w:w="16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FC062B" w:rsidRPr="004F3715" w:rsidRDefault="00FC062B" w:rsidP="00816B2D">
                  <w:pPr>
                    <w:pStyle w:val="a0"/>
                    <w:spacing w:before="60" w:after="60"/>
                    <w:ind w:left="-79"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en-AU" w:eastAsia="en-US"/>
                    </w:rPr>
                    <w:t>бар’єрні</w:t>
                  </w:r>
                </w:p>
              </w:tc>
            </w:tr>
            <w:tr w:rsidR="00FC062B" w:rsidRPr="00C710DD" w:rsidTr="00B14D7E">
              <w:trPr>
                <w:trHeight w:val="480"/>
              </w:trPr>
              <w:tc>
                <w:tcPr>
                  <w:tcW w:w="2943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Усього:</w:t>
                  </w: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4910</w:t>
                  </w:r>
                </w:p>
              </w:tc>
              <w:tc>
                <w:tcPr>
                  <w:tcW w:w="120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925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2,3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4,2</w:t>
                  </w:r>
                </w:p>
              </w:tc>
              <w:tc>
                <w:tcPr>
                  <w:tcW w:w="163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816B2D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93,5</w:t>
                  </w:r>
                </w:p>
              </w:tc>
            </w:tr>
            <w:tr w:rsidR="00FC062B" w:rsidRPr="00C710DD" w:rsidTr="00B14D7E">
              <w:trPr>
                <w:trHeight w:val="236"/>
              </w:trPr>
              <w:tc>
                <w:tcPr>
                  <w:tcW w:w="33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І.</w:t>
                  </w:r>
                </w:p>
              </w:tc>
              <w:tc>
                <w:tcPr>
                  <w:tcW w:w="261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Громадські будівлі</w:t>
                  </w:r>
                </w:p>
              </w:tc>
              <w:tc>
                <w:tcPr>
                  <w:tcW w:w="113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2083</w:t>
                  </w:r>
                </w:p>
              </w:tc>
              <w:tc>
                <w:tcPr>
                  <w:tcW w:w="120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649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0,3</w:t>
                  </w:r>
                </w:p>
              </w:tc>
              <w:tc>
                <w:tcPr>
                  <w:tcW w:w="1273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3,1</w:t>
                  </w:r>
                </w:p>
              </w:tc>
              <w:tc>
                <w:tcPr>
                  <w:tcW w:w="1630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816B2D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96,6</w:t>
                  </w:r>
                </w:p>
              </w:tc>
            </w:tr>
            <w:tr w:rsidR="00FC062B" w:rsidRPr="00C710DD" w:rsidTr="00B14D7E">
              <w:trPr>
                <w:trHeight w:val="274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2.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rPr>
                      <w:lang w:eastAsia="en-US"/>
                    </w:rPr>
                  </w:pPr>
                  <w:r w:rsidRPr="004F3715">
                    <w:rPr>
                      <w:lang w:eastAsia="en-US"/>
                    </w:rPr>
                    <w:t>Житлові будівлі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52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816B2D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100</w:t>
                  </w:r>
                </w:p>
              </w:tc>
            </w:tr>
            <w:tr w:rsidR="00FC062B" w:rsidRPr="00C710DD" w:rsidTr="00B14D7E">
              <w:trPr>
                <w:trHeight w:val="455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rPr>
                      <w:lang w:eastAsia="en-US"/>
                    </w:rPr>
                  </w:pPr>
                  <w:r w:rsidRPr="004F3715">
                    <w:rPr>
                      <w:lang w:eastAsia="en-US"/>
                    </w:rPr>
                    <w:t>Будівлі і споруди сфери надання послуг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1219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112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9,8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7,2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83</w:t>
                  </w:r>
                </w:p>
              </w:tc>
            </w:tr>
            <w:tr w:rsidR="00FC062B" w:rsidRPr="00C710DD" w:rsidTr="00B14D7E">
              <w:trPr>
                <w:trHeight w:val="248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rPr>
                      <w:color w:val="000000"/>
                      <w:lang w:eastAsia="en-US"/>
                    </w:rPr>
                  </w:pPr>
                  <w:r w:rsidRPr="004F3715">
                    <w:rPr>
                      <w:color w:val="000000"/>
                      <w:lang w:eastAsia="en-US"/>
                    </w:rPr>
                    <w:t>Об’єкти транспортної інфраструктури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20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16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25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6,3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68,7</w:t>
                  </w:r>
                </w:p>
              </w:tc>
            </w:tr>
            <w:tr w:rsidR="00FC062B" w:rsidRPr="00C710DD" w:rsidTr="00B14D7E">
              <w:trPr>
                <w:trHeight w:val="248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rPr>
                      <w:color w:val="000000"/>
                      <w:lang w:eastAsia="en-US"/>
                    </w:rPr>
                  </w:pPr>
                  <w:r w:rsidRPr="004F3715">
                    <w:rPr>
                      <w:color w:val="000000"/>
                      <w:lang w:eastAsia="en-US"/>
                    </w:rPr>
                    <w:t>Вулиці та дороги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170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74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2,7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5,4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91,9</w:t>
                  </w:r>
                </w:p>
              </w:tc>
            </w:tr>
            <w:tr w:rsidR="00FC062B" w:rsidRPr="00C710DD" w:rsidTr="00B14D7E">
              <w:trPr>
                <w:trHeight w:val="248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6.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rPr>
                      <w:color w:val="000000"/>
                      <w:lang w:eastAsia="en-US"/>
                    </w:rPr>
                  </w:pPr>
                  <w:r w:rsidRPr="004F3715">
                    <w:rPr>
                      <w:color w:val="000000"/>
                      <w:lang w:eastAsia="en-US"/>
                    </w:rPr>
                    <w:t>Зупинки громадського транспорту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996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55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1,8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3,7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94,5</w:t>
                  </w:r>
                </w:p>
              </w:tc>
            </w:tr>
            <w:tr w:rsidR="00FC062B" w:rsidRPr="00C710DD" w:rsidTr="00B14D7E">
              <w:trPr>
                <w:trHeight w:val="248"/>
              </w:trPr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right="-85" w:firstLine="0"/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rPr>
                      <w:color w:val="000000"/>
                      <w:lang w:eastAsia="en-US"/>
                    </w:rPr>
                  </w:pPr>
                  <w:r w:rsidRPr="004F3715">
                    <w:rPr>
                      <w:color w:val="000000"/>
                      <w:lang w:eastAsia="en-US"/>
                    </w:rPr>
                    <w:t>Об’єкти благоустрою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370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12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8,4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33,3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062B" w:rsidRPr="004F3715" w:rsidRDefault="00FC062B" w:rsidP="005D5170">
                  <w:pPr>
                    <w:pStyle w:val="a0"/>
                    <w:spacing w:before="60" w:after="60"/>
                    <w:ind w:left="-79" w:right="-85" w:firstLine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</w:pPr>
                  <w:r w:rsidRPr="004F3715">
                    <w:rPr>
                      <w:rFonts w:ascii="Times New Roman" w:hAnsi="Times New Roman"/>
                      <w:noProof/>
                      <w:sz w:val="24"/>
                      <w:szCs w:val="24"/>
                      <w:lang w:val="ru-RU" w:eastAsia="en-US"/>
                    </w:rPr>
                    <w:t>58,3</w:t>
                  </w:r>
                </w:p>
              </w:tc>
            </w:tr>
          </w:tbl>
          <w:p w:rsidR="00FC062B" w:rsidRPr="00424D5D" w:rsidRDefault="00FC062B" w:rsidP="00424D5D">
            <w:pPr>
              <w:ind w:right="38" w:firstLine="268"/>
              <w:jc w:val="both"/>
              <w:rPr>
                <w:szCs w:val="28"/>
              </w:rPr>
            </w:pPr>
          </w:p>
          <w:p w:rsidR="00FC062B" w:rsidRPr="00424D5D" w:rsidRDefault="00FC062B" w:rsidP="00424D5D">
            <w:pPr>
              <w:ind w:right="38" w:firstLine="268"/>
              <w:jc w:val="both"/>
              <w:rPr>
                <w:szCs w:val="28"/>
              </w:rPr>
            </w:pPr>
          </w:p>
          <w:p w:rsidR="00FC062B" w:rsidRPr="00424D5D" w:rsidRDefault="00FC062B" w:rsidP="00424D5D">
            <w:pPr>
              <w:ind w:firstLine="227"/>
              <w:jc w:val="both"/>
              <w:rPr>
                <w:szCs w:val="28"/>
              </w:rPr>
            </w:pPr>
          </w:p>
        </w:tc>
      </w:tr>
      <w:tr w:rsidR="00FC062B" w:rsidTr="00DD6D55">
        <w:tc>
          <w:tcPr>
            <w:tcW w:w="5762" w:type="dxa"/>
          </w:tcPr>
          <w:p w:rsidR="00FC062B" w:rsidRPr="00424D5D" w:rsidRDefault="00FC062B" w:rsidP="00424D5D">
            <w:pPr>
              <w:ind w:right="38"/>
              <w:jc w:val="both"/>
              <w:rPr>
                <w:szCs w:val="28"/>
              </w:rPr>
            </w:pPr>
            <w:r w:rsidRPr="00424D5D">
              <w:rPr>
                <w:szCs w:val="28"/>
              </w:rPr>
              <w:t xml:space="preserve">Надання особам з інвалідністю безоплатної </w:t>
            </w:r>
            <w:r>
              <w:rPr>
                <w:szCs w:val="28"/>
              </w:rPr>
              <w:t>правничої допомоги</w:t>
            </w:r>
            <w:r w:rsidRPr="00424D5D">
              <w:rPr>
                <w:szCs w:val="28"/>
              </w:rPr>
              <w:t xml:space="preserve"> з питань забезпечення їх конституційних прав та гарантій.</w:t>
            </w:r>
          </w:p>
        </w:tc>
        <w:tc>
          <w:tcPr>
            <w:tcW w:w="9080" w:type="dxa"/>
          </w:tcPr>
          <w:p w:rsidR="00FC062B" w:rsidRPr="004554C4" w:rsidRDefault="00FC062B" w:rsidP="0013771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02"/>
              <w:jc w:val="both"/>
              <w:rPr>
                <w:noProof w:val="0"/>
                <w:color w:val="000000"/>
                <w:sz w:val="21"/>
                <w:szCs w:val="21"/>
                <w:lang w:eastAsia="uk-UA"/>
              </w:rPr>
            </w:pPr>
            <w:r w:rsidRPr="004554C4">
              <w:rPr>
                <w:noProof w:val="0"/>
                <w:color w:val="000000"/>
                <w:lang w:eastAsia="uk-UA"/>
              </w:rPr>
              <w:t xml:space="preserve">Івано-Франківським відділом надання безоплатної правничої допомоги Південно-Західного управління надання безоплатної правничої допомоги Західного міжрегіонального центру з надання безоплатної правничої допомоги у період </w:t>
            </w:r>
            <w:r>
              <w:rPr>
                <w:noProof w:val="0"/>
                <w:color w:val="000000"/>
                <w:lang w:eastAsia="uk-UA"/>
              </w:rPr>
              <w:br/>
            </w:r>
            <w:r w:rsidRPr="004554C4">
              <w:rPr>
                <w:noProof w:val="0"/>
                <w:color w:val="000000"/>
                <w:lang w:eastAsia="uk-UA"/>
              </w:rPr>
              <w:t>з 01.01.2025 по 01.10.202</w:t>
            </w:r>
            <w:r>
              <w:rPr>
                <w:noProof w:val="0"/>
                <w:color w:val="000000"/>
                <w:lang w:eastAsia="uk-UA"/>
              </w:rPr>
              <w:t xml:space="preserve">5 </w:t>
            </w:r>
            <w:r w:rsidRPr="004554C4">
              <w:rPr>
                <w:noProof w:val="0"/>
                <w:color w:val="000000"/>
                <w:lang w:eastAsia="uk-UA"/>
              </w:rPr>
              <w:t xml:space="preserve"> безоплатну первинну правничу допомогу </w:t>
            </w:r>
            <w:r>
              <w:rPr>
                <w:noProof w:val="0"/>
                <w:color w:val="000000"/>
                <w:lang w:eastAsia="uk-UA"/>
              </w:rPr>
              <w:t xml:space="preserve"> надано - </w:t>
            </w:r>
            <w:r w:rsidRPr="004554C4">
              <w:rPr>
                <w:noProof w:val="0"/>
                <w:color w:val="000000"/>
                <w:lang w:eastAsia="uk-UA"/>
              </w:rPr>
              <w:t xml:space="preserve"> 867 особам з інвалідністю</w:t>
            </w:r>
            <w:r>
              <w:rPr>
                <w:noProof w:val="0"/>
                <w:color w:val="000000"/>
                <w:lang w:eastAsia="uk-UA"/>
              </w:rPr>
              <w:t xml:space="preserve"> та 344 особи з інвалідністю отримали</w:t>
            </w:r>
            <w:r w:rsidRPr="004554C4">
              <w:rPr>
                <w:noProof w:val="0"/>
                <w:color w:val="000000"/>
                <w:lang w:eastAsia="uk-UA"/>
              </w:rPr>
              <w:t xml:space="preserve"> безоплатну </w:t>
            </w:r>
            <w:r>
              <w:rPr>
                <w:noProof w:val="0"/>
                <w:color w:val="000000"/>
                <w:lang w:eastAsia="uk-UA"/>
              </w:rPr>
              <w:t xml:space="preserve">вторинну </w:t>
            </w:r>
            <w:r w:rsidRPr="004554C4">
              <w:rPr>
                <w:noProof w:val="0"/>
                <w:color w:val="000000"/>
                <w:lang w:eastAsia="uk-UA"/>
              </w:rPr>
              <w:t>правничу допомогу</w:t>
            </w:r>
            <w:r>
              <w:rPr>
                <w:noProof w:val="0"/>
                <w:color w:val="000000"/>
                <w:lang w:eastAsia="uk-UA"/>
              </w:rPr>
              <w:t>.</w:t>
            </w:r>
          </w:p>
          <w:p w:rsidR="00FC062B" w:rsidRPr="00424D5D" w:rsidRDefault="00FC062B" w:rsidP="000311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36"/>
              <w:jc w:val="both"/>
              <w:rPr>
                <w:rFonts w:ascii="Arial" w:hAnsi="Arial" w:cs="Arial"/>
                <w:szCs w:val="28"/>
              </w:rPr>
            </w:pPr>
          </w:p>
        </w:tc>
      </w:tr>
    </w:tbl>
    <w:p w:rsidR="00FC062B" w:rsidRDefault="00FC062B">
      <w:pPr>
        <w:rPr>
          <w:b/>
        </w:rPr>
      </w:pPr>
    </w:p>
    <w:p w:rsidR="00FC062B" w:rsidRDefault="00FC062B">
      <w:pPr>
        <w:rPr>
          <w:b/>
        </w:rPr>
      </w:pPr>
    </w:p>
    <w:p w:rsidR="00FC062B" w:rsidRPr="00B943D2" w:rsidRDefault="00FC062B">
      <w:pPr>
        <w:rPr>
          <w:b/>
        </w:rPr>
      </w:pPr>
      <w:r w:rsidRPr="00B943D2">
        <w:rPr>
          <w:b/>
        </w:rPr>
        <w:t>Головний спеціаліст служби містобудівного кадастру управління</w:t>
      </w:r>
    </w:p>
    <w:p w:rsidR="00FC062B" w:rsidRPr="00B943D2" w:rsidRDefault="00FC062B">
      <w:pPr>
        <w:rPr>
          <w:b/>
        </w:rPr>
      </w:pPr>
      <w:r w:rsidRPr="00B943D2">
        <w:rPr>
          <w:b/>
        </w:rPr>
        <w:t>містобудування та архітектури департаменту розвитку громад та територій,</w:t>
      </w:r>
    </w:p>
    <w:p w:rsidR="00FC062B" w:rsidRPr="00B943D2" w:rsidRDefault="00FC062B">
      <w:pPr>
        <w:rPr>
          <w:b/>
        </w:rPr>
      </w:pPr>
      <w:r w:rsidRPr="00B943D2">
        <w:rPr>
          <w:b/>
        </w:rPr>
        <w:t>дорожнього, житлово-комунального господарства, містобудування та архітектури</w:t>
      </w:r>
    </w:p>
    <w:p w:rsidR="00FC062B" w:rsidRPr="00492CAA" w:rsidRDefault="00FC062B">
      <w:pPr>
        <w:rPr>
          <w:b/>
        </w:rPr>
      </w:pPr>
      <w:r w:rsidRPr="00B943D2">
        <w:rPr>
          <w:b/>
        </w:rPr>
        <w:t>Івано-Франківської облдержадміністрації, секретар комітету</w:t>
      </w:r>
      <w:r>
        <w:rPr>
          <w:b/>
        </w:rPr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Леся Шедловська                                                                                                                                       </w:t>
      </w:r>
    </w:p>
    <w:sectPr w:rsidR="00FC062B" w:rsidRPr="00492CAA" w:rsidSect="004F3715">
      <w:footerReference w:type="even" r:id="rId12"/>
      <w:footerReference w:type="default" r:id="rId13"/>
      <w:pgSz w:w="16838" w:h="11906" w:orient="landscape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62B" w:rsidRDefault="00FC062B" w:rsidP="0022088F">
      <w:r>
        <w:separator/>
      </w:r>
    </w:p>
  </w:endnote>
  <w:endnote w:type="continuationSeparator" w:id="0">
    <w:p w:rsidR="00FC062B" w:rsidRDefault="00FC062B" w:rsidP="002208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lgun Gothic Semilight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BatangChe"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B" w:rsidRDefault="00FC062B" w:rsidP="00F870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062B" w:rsidRDefault="00FC062B" w:rsidP="004F37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62B" w:rsidRDefault="00FC062B" w:rsidP="00F870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14</w:t>
    </w:r>
    <w:r>
      <w:rPr>
        <w:rStyle w:val="PageNumber"/>
      </w:rPr>
      <w:fldChar w:fldCharType="end"/>
    </w:r>
  </w:p>
  <w:p w:rsidR="00FC062B" w:rsidRDefault="00FC062B" w:rsidP="004F371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62B" w:rsidRDefault="00FC062B" w:rsidP="0022088F">
      <w:r>
        <w:separator/>
      </w:r>
    </w:p>
  </w:footnote>
  <w:footnote w:type="continuationSeparator" w:id="0">
    <w:p w:rsidR="00FC062B" w:rsidRDefault="00FC062B" w:rsidP="002208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B7F94"/>
    <w:multiLevelType w:val="hybridMultilevel"/>
    <w:tmpl w:val="5D1A45D0"/>
    <w:lvl w:ilvl="0" w:tplc="042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2E56"/>
    <w:rsid w:val="00015BAF"/>
    <w:rsid w:val="0002667A"/>
    <w:rsid w:val="00031103"/>
    <w:rsid w:val="00033165"/>
    <w:rsid w:val="00035138"/>
    <w:rsid w:val="0003691D"/>
    <w:rsid w:val="0004407D"/>
    <w:rsid w:val="00057873"/>
    <w:rsid w:val="00057B03"/>
    <w:rsid w:val="00062D33"/>
    <w:rsid w:val="0006580B"/>
    <w:rsid w:val="00081B42"/>
    <w:rsid w:val="00081E27"/>
    <w:rsid w:val="00090E06"/>
    <w:rsid w:val="000927EB"/>
    <w:rsid w:val="000A2D14"/>
    <w:rsid w:val="000B05A3"/>
    <w:rsid w:val="000B0CDF"/>
    <w:rsid w:val="000C12A6"/>
    <w:rsid w:val="000D1732"/>
    <w:rsid w:val="000D31EC"/>
    <w:rsid w:val="00101054"/>
    <w:rsid w:val="00103589"/>
    <w:rsid w:val="001041C6"/>
    <w:rsid w:val="0010661E"/>
    <w:rsid w:val="00110A25"/>
    <w:rsid w:val="0011508D"/>
    <w:rsid w:val="00116C4C"/>
    <w:rsid w:val="00122457"/>
    <w:rsid w:val="00124DC8"/>
    <w:rsid w:val="001321C0"/>
    <w:rsid w:val="0013419C"/>
    <w:rsid w:val="00137712"/>
    <w:rsid w:val="001418B6"/>
    <w:rsid w:val="0014333D"/>
    <w:rsid w:val="0014400A"/>
    <w:rsid w:val="00157680"/>
    <w:rsid w:val="001648DA"/>
    <w:rsid w:val="00164D46"/>
    <w:rsid w:val="00170F8C"/>
    <w:rsid w:val="001850DE"/>
    <w:rsid w:val="00193594"/>
    <w:rsid w:val="00194858"/>
    <w:rsid w:val="001A0743"/>
    <w:rsid w:val="001A2897"/>
    <w:rsid w:val="001A3FE1"/>
    <w:rsid w:val="001A587B"/>
    <w:rsid w:val="001B37EC"/>
    <w:rsid w:val="001B38B1"/>
    <w:rsid w:val="001C26ED"/>
    <w:rsid w:val="001C29B9"/>
    <w:rsid w:val="001D273F"/>
    <w:rsid w:val="001D4919"/>
    <w:rsid w:val="001D7665"/>
    <w:rsid w:val="001E257B"/>
    <w:rsid w:val="002001AE"/>
    <w:rsid w:val="00201A8F"/>
    <w:rsid w:val="0022088F"/>
    <w:rsid w:val="00220F2D"/>
    <w:rsid w:val="00222009"/>
    <w:rsid w:val="00223877"/>
    <w:rsid w:val="0023073B"/>
    <w:rsid w:val="00243276"/>
    <w:rsid w:val="00255B3E"/>
    <w:rsid w:val="002570E5"/>
    <w:rsid w:val="002625E1"/>
    <w:rsid w:val="00273B0A"/>
    <w:rsid w:val="00281F5E"/>
    <w:rsid w:val="00295057"/>
    <w:rsid w:val="002C2576"/>
    <w:rsid w:val="002C41CA"/>
    <w:rsid w:val="002C4C32"/>
    <w:rsid w:val="002D7AB9"/>
    <w:rsid w:val="002E21BE"/>
    <w:rsid w:val="002E3F66"/>
    <w:rsid w:val="002E4515"/>
    <w:rsid w:val="002F0C3C"/>
    <w:rsid w:val="002F4806"/>
    <w:rsid w:val="00310C75"/>
    <w:rsid w:val="003123F6"/>
    <w:rsid w:val="00312E20"/>
    <w:rsid w:val="00321928"/>
    <w:rsid w:val="00332E56"/>
    <w:rsid w:val="00335EF5"/>
    <w:rsid w:val="003365EE"/>
    <w:rsid w:val="00352D5D"/>
    <w:rsid w:val="00354330"/>
    <w:rsid w:val="00356B4F"/>
    <w:rsid w:val="00362963"/>
    <w:rsid w:val="00386A86"/>
    <w:rsid w:val="00391AAA"/>
    <w:rsid w:val="003928FB"/>
    <w:rsid w:val="003968F3"/>
    <w:rsid w:val="00397A24"/>
    <w:rsid w:val="003A3941"/>
    <w:rsid w:val="003B2CE5"/>
    <w:rsid w:val="003B5B86"/>
    <w:rsid w:val="003C0BC3"/>
    <w:rsid w:val="003C3AF8"/>
    <w:rsid w:val="003C57D5"/>
    <w:rsid w:val="003D0976"/>
    <w:rsid w:val="003D2F4E"/>
    <w:rsid w:val="003D410C"/>
    <w:rsid w:val="003E1D56"/>
    <w:rsid w:val="004010F7"/>
    <w:rsid w:val="00405C26"/>
    <w:rsid w:val="00422A8A"/>
    <w:rsid w:val="00422C88"/>
    <w:rsid w:val="00424D5D"/>
    <w:rsid w:val="00424F07"/>
    <w:rsid w:val="00441A66"/>
    <w:rsid w:val="00442B5C"/>
    <w:rsid w:val="00445E05"/>
    <w:rsid w:val="0045262C"/>
    <w:rsid w:val="004554C4"/>
    <w:rsid w:val="00455D50"/>
    <w:rsid w:val="00461F92"/>
    <w:rsid w:val="004677BE"/>
    <w:rsid w:val="0047309D"/>
    <w:rsid w:val="00474606"/>
    <w:rsid w:val="0047526C"/>
    <w:rsid w:val="00476C03"/>
    <w:rsid w:val="00486CDC"/>
    <w:rsid w:val="00492CAA"/>
    <w:rsid w:val="00493FA0"/>
    <w:rsid w:val="0049499F"/>
    <w:rsid w:val="004976EF"/>
    <w:rsid w:val="004A1D8C"/>
    <w:rsid w:val="004A7F8E"/>
    <w:rsid w:val="004C09B9"/>
    <w:rsid w:val="004C2702"/>
    <w:rsid w:val="004C2799"/>
    <w:rsid w:val="004C2DEC"/>
    <w:rsid w:val="004D04D7"/>
    <w:rsid w:val="004D259D"/>
    <w:rsid w:val="004D3ED2"/>
    <w:rsid w:val="004D44FD"/>
    <w:rsid w:val="004E598E"/>
    <w:rsid w:val="004F008A"/>
    <w:rsid w:val="004F3715"/>
    <w:rsid w:val="004F5029"/>
    <w:rsid w:val="005041CF"/>
    <w:rsid w:val="0050428E"/>
    <w:rsid w:val="00531E12"/>
    <w:rsid w:val="00540957"/>
    <w:rsid w:val="00544422"/>
    <w:rsid w:val="00550282"/>
    <w:rsid w:val="00552A07"/>
    <w:rsid w:val="00560B0C"/>
    <w:rsid w:val="005647E3"/>
    <w:rsid w:val="00567C25"/>
    <w:rsid w:val="00573571"/>
    <w:rsid w:val="00574B91"/>
    <w:rsid w:val="005905C5"/>
    <w:rsid w:val="005926BE"/>
    <w:rsid w:val="00595702"/>
    <w:rsid w:val="005A03B9"/>
    <w:rsid w:val="005A2D74"/>
    <w:rsid w:val="005A2E2E"/>
    <w:rsid w:val="005A7ADF"/>
    <w:rsid w:val="005B6681"/>
    <w:rsid w:val="005C1136"/>
    <w:rsid w:val="005C45F1"/>
    <w:rsid w:val="005C71CF"/>
    <w:rsid w:val="005D249D"/>
    <w:rsid w:val="005D2A28"/>
    <w:rsid w:val="005D36EA"/>
    <w:rsid w:val="005D4BFF"/>
    <w:rsid w:val="005D5170"/>
    <w:rsid w:val="005E0148"/>
    <w:rsid w:val="005E195A"/>
    <w:rsid w:val="005F64C2"/>
    <w:rsid w:val="006067C2"/>
    <w:rsid w:val="0061375C"/>
    <w:rsid w:val="006145F3"/>
    <w:rsid w:val="0061565F"/>
    <w:rsid w:val="00615931"/>
    <w:rsid w:val="006219B3"/>
    <w:rsid w:val="00624BBE"/>
    <w:rsid w:val="00627C1B"/>
    <w:rsid w:val="0063161B"/>
    <w:rsid w:val="006402D3"/>
    <w:rsid w:val="00640646"/>
    <w:rsid w:val="006458D5"/>
    <w:rsid w:val="00654D59"/>
    <w:rsid w:val="00656AEA"/>
    <w:rsid w:val="00660EC8"/>
    <w:rsid w:val="00665C3B"/>
    <w:rsid w:val="00667F77"/>
    <w:rsid w:val="00681D5E"/>
    <w:rsid w:val="00693CB4"/>
    <w:rsid w:val="006A4D70"/>
    <w:rsid w:val="006A6BA9"/>
    <w:rsid w:val="006A799F"/>
    <w:rsid w:val="006C07F6"/>
    <w:rsid w:val="006C09B2"/>
    <w:rsid w:val="006C23AD"/>
    <w:rsid w:val="006C2BCC"/>
    <w:rsid w:val="006C3715"/>
    <w:rsid w:val="006D2BE5"/>
    <w:rsid w:val="006E433A"/>
    <w:rsid w:val="006F01C5"/>
    <w:rsid w:val="00716CE8"/>
    <w:rsid w:val="007367FC"/>
    <w:rsid w:val="00764DFA"/>
    <w:rsid w:val="007658D8"/>
    <w:rsid w:val="007714AF"/>
    <w:rsid w:val="00780901"/>
    <w:rsid w:val="00781097"/>
    <w:rsid w:val="007826C5"/>
    <w:rsid w:val="007941DF"/>
    <w:rsid w:val="007976CA"/>
    <w:rsid w:val="007A10FD"/>
    <w:rsid w:val="007B67EF"/>
    <w:rsid w:val="007B741D"/>
    <w:rsid w:val="007C12A7"/>
    <w:rsid w:val="007C4002"/>
    <w:rsid w:val="007C61C9"/>
    <w:rsid w:val="007C6E90"/>
    <w:rsid w:val="007D1F68"/>
    <w:rsid w:val="007D322B"/>
    <w:rsid w:val="007E2B1D"/>
    <w:rsid w:val="007E7250"/>
    <w:rsid w:val="007F7B94"/>
    <w:rsid w:val="00800912"/>
    <w:rsid w:val="008017FD"/>
    <w:rsid w:val="00811572"/>
    <w:rsid w:val="00816230"/>
    <w:rsid w:val="00816B2D"/>
    <w:rsid w:val="008234BD"/>
    <w:rsid w:val="00843784"/>
    <w:rsid w:val="00850825"/>
    <w:rsid w:val="0085191B"/>
    <w:rsid w:val="00851E1E"/>
    <w:rsid w:val="00872D12"/>
    <w:rsid w:val="0088347C"/>
    <w:rsid w:val="008840C5"/>
    <w:rsid w:val="00885468"/>
    <w:rsid w:val="00887498"/>
    <w:rsid w:val="008A6EC3"/>
    <w:rsid w:val="008B0B2F"/>
    <w:rsid w:val="008C610D"/>
    <w:rsid w:val="008C6C88"/>
    <w:rsid w:val="008D066E"/>
    <w:rsid w:val="008D2812"/>
    <w:rsid w:val="008D7FD3"/>
    <w:rsid w:val="008E5BF9"/>
    <w:rsid w:val="008E6913"/>
    <w:rsid w:val="008F1CD9"/>
    <w:rsid w:val="0090183E"/>
    <w:rsid w:val="0091433E"/>
    <w:rsid w:val="00923F75"/>
    <w:rsid w:val="00930673"/>
    <w:rsid w:val="00933165"/>
    <w:rsid w:val="00942068"/>
    <w:rsid w:val="00953D32"/>
    <w:rsid w:val="00961A56"/>
    <w:rsid w:val="009626DC"/>
    <w:rsid w:val="00973084"/>
    <w:rsid w:val="009768ED"/>
    <w:rsid w:val="00981957"/>
    <w:rsid w:val="009A3BE0"/>
    <w:rsid w:val="009B59E5"/>
    <w:rsid w:val="009C1265"/>
    <w:rsid w:val="009C4596"/>
    <w:rsid w:val="009C4748"/>
    <w:rsid w:val="009D1693"/>
    <w:rsid w:val="009D4026"/>
    <w:rsid w:val="009E5B06"/>
    <w:rsid w:val="009E682A"/>
    <w:rsid w:val="009F512D"/>
    <w:rsid w:val="00A026CB"/>
    <w:rsid w:val="00A05DEB"/>
    <w:rsid w:val="00A44465"/>
    <w:rsid w:val="00A51C71"/>
    <w:rsid w:val="00A7076D"/>
    <w:rsid w:val="00A73857"/>
    <w:rsid w:val="00A74DBE"/>
    <w:rsid w:val="00A74E95"/>
    <w:rsid w:val="00A752EB"/>
    <w:rsid w:val="00A7683F"/>
    <w:rsid w:val="00A87733"/>
    <w:rsid w:val="00AB59C4"/>
    <w:rsid w:val="00AD3279"/>
    <w:rsid w:val="00AD4EF8"/>
    <w:rsid w:val="00AD6EDA"/>
    <w:rsid w:val="00AE7116"/>
    <w:rsid w:val="00AF043B"/>
    <w:rsid w:val="00AF3593"/>
    <w:rsid w:val="00AF6DA5"/>
    <w:rsid w:val="00B0089F"/>
    <w:rsid w:val="00B0245A"/>
    <w:rsid w:val="00B054D1"/>
    <w:rsid w:val="00B111DE"/>
    <w:rsid w:val="00B14D7E"/>
    <w:rsid w:val="00B157EC"/>
    <w:rsid w:val="00B41FEE"/>
    <w:rsid w:val="00B458DC"/>
    <w:rsid w:val="00B45914"/>
    <w:rsid w:val="00B5268E"/>
    <w:rsid w:val="00B529D8"/>
    <w:rsid w:val="00B65CE9"/>
    <w:rsid w:val="00B74475"/>
    <w:rsid w:val="00B74D7F"/>
    <w:rsid w:val="00B77450"/>
    <w:rsid w:val="00B800AB"/>
    <w:rsid w:val="00B81D7B"/>
    <w:rsid w:val="00B865E2"/>
    <w:rsid w:val="00B943D2"/>
    <w:rsid w:val="00B946DD"/>
    <w:rsid w:val="00B953BF"/>
    <w:rsid w:val="00B96541"/>
    <w:rsid w:val="00BA568D"/>
    <w:rsid w:val="00BB036A"/>
    <w:rsid w:val="00BB635D"/>
    <w:rsid w:val="00BB6CC8"/>
    <w:rsid w:val="00BC2253"/>
    <w:rsid w:val="00BC2412"/>
    <w:rsid w:val="00BD1854"/>
    <w:rsid w:val="00BD1C10"/>
    <w:rsid w:val="00BF135A"/>
    <w:rsid w:val="00C02A65"/>
    <w:rsid w:val="00C213ED"/>
    <w:rsid w:val="00C23524"/>
    <w:rsid w:val="00C248FC"/>
    <w:rsid w:val="00C261BF"/>
    <w:rsid w:val="00C27411"/>
    <w:rsid w:val="00C27EF9"/>
    <w:rsid w:val="00C310AB"/>
    <w:rsid w:val="00C3516F"/>
    <w:rsid w:val="00C36685"/>
    <w:rsid w:val="00C57905"/>
    <w:rsid w:val="00C62AC7"/>
    <w:rsid w:val="00C64756"/>
    <w:rsid w:val="00C710DD"/>
    <w:rsid w:val="00C834F9"/>
    <w:rsid w:val="00C835C3"/>
    <w:rsid w:val="00C902DA"/>
    <w:rsid w:val="00CA492E"/>
    <w:rsid w:val="00CA6A9D"/>
    <w:rsid w:val="00CC3F34"/>
    <w:rsid w:val="00CC756B"/>
    <w:rsid w:val="00CD43F6"/>
    <w:rsid w:val="00CF122F"/>
    <w:rsid w:val="00CF2830"/>
    <w:rsid w:val="00CF7E43"/>
    <w:rsid w:val="00D0348A"/>
    <w:rsid w:val="00D03D52"/>
    <w:rsid w:val="00D05175"/>
    <w:rsid w:val="00D11A93"/>
    <w:rsid w:val="00D2005F"/>
    <w:rsid w:val="00D35549"/>
    <w:rsid w:val="00D50950"/>
    <w:rsid w:val="00D535C5"/>
    <w:rsid w:val="00D60A4A"/>
    <w:rsid w:val="00D63CB8"/>
    <w:rsid w:val="00D67C24"/>
    <w:rsid w:val="00D7330F"/>
    <w:rsid w:val="00D76CC4"/>
    <w:rsid w:val="00D8052C"/>
    <w:rsid w:val="00D80894"/>
    <w:rsid w:val="00DA63C2"/>
    <w:rsid w:val="00DA648C"/>
    <w:rsid w:val="00DA6AE7"/>
    <w:rsid w:val="00DB45E5"/>
    <w:rsid w:val="00DB6617"/>
    <w:rsid w:val="00DC1C0A"/>
    <w:rsid w:val="00DD2436"/>
    <w:rsid w:val="00DD6D55"/>
    <w:rsid w:val="00DE2C9A"/>
    <w:rsid w:val="00DF54C4"/>
    <w:rsid w:val="00DF5688"/>
    <w:rsid w:val="00E023ED"/>
    <w:rsid w:val="00E048B3"/>
    <w:rsid w:val="00E130ED"/>
    <w:rsid w:val="00E20FB6"/>
    <w:rsid w:val="00E25B79"/>
    <w:rsid w:val="00E3028B"/>
    <w:rsid w:val="00E32338"/>
    <w:rsid w:val="00E35574"/>
    <w:rsid w:val="00E3640F"/>
    <w:rsid w:val="00E41204"/>
    <w:rsid w:val="00E463DD"/>
    <w:rsid w:val="00E53873"/>
    <w:rsid w:val="00E64A83"/>
    <w:rsid w:val="00E86E5C"/>
    <w:rsid w:val="00EA2390"/>
    <w:rsid w:val="00EA640D"/>
    <w:rsid w:val="00EB0CFA"/>
    <w:rsid w:val="00EB6579"/>
    <w:rsid w:val="00EC32B7"/>
    <w:rsid w:val="00ED05ED"/>
    <w:rsid w:val="00EE18A0"/>
    <w:rsid w:val="00EE2724"/>
    <w:rsid w:val="00EE3C11"/>
    <w:rsid w:val="00EE7514"/>
    <w:rsid w:val="00EF2E57"/>
    <w:rsid w:val="00EF6196"/>
    <w:rsid w:val="00F16285"/>
    <w:rsid w:val="00F175F4"/>
    <w:rsid w:val="00F20C38"/>
    <w:rsid w:val="00F22460"/>
    <w:rsid w:val="00F23897"/>
    <w:rsid w:val="00F346A0"/>
    <w:rsid w:val="00F53C92"/>
    <w:rsid w:val="00F56E93"/>
    <w:rsid w:val="00F570A4"/>
    <w:rsid w:val="00F57A05"/>
    <w:rsid w:val="00F60933"/>
    <w:rsid w:val="00F628CC"/>
    <w:rsid w:val="00F632D2"/>
    <w:rsid w:val="00F745A7"/>
    <w:rsid w:val="00F77C07"/>
    <w:rsid w:val="00F87066"/>
    <w:rsid w:val="00F90A24"/>
    <w:rsid w:val="00F96A49"/>
    <w:rsid w:val="00F96E56"/>
    <w:rsid w:val="00F97010"/>
    <w:rsid w:val="00FA01FE"/>
    <w:rsid w:val="00FA0220"/>
    <w:rsid w:val="00FA4AA5"/>
    <w:rsid w:val="00FA7312"/>
    <w:rsid w:val="00FB4C7A"/>
    <w:rsid w:val="00FB5088"/>
    <w:rsid w:val="00FC062B"/>
    <w:rsid w:val="00FC19DC"/>
    <w:rsid w:val="00FE573D"/>
    <w:rsid w:val="00FF0EC0"/>
    <w:rsid w:val="00FF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4C2"/>
    <w:rPr>
      <w:noProof/>
      <w:sz w:val="24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7514"/>
    <w:pPr>
      <w:keepNext/>
      <w:spacing w:before="240" w:after="60"/>
      <w:outlineLvl w:val="2"/>
    </w:pPr>
    <w:rPr>
      <w:rFonts w:ascii="Cambria" w:hAnsi="Cambria"/>
      <w:b/>
      <w:bCs/>
      <w:noProof w:val="0"/>
      <w:sz w:val="26"/>
      <w:szCs w:val="2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E7514"/>
    <w:rPr>
      <w:rFonts w:ascii="Cambria" w:hAnsi="Cambria" w:cs="Times New Roman"/>
      <w:b/>
      <w:sz w:val="26"/>
      <w:lang w:val="uk-UA" w:eastAsia="uk-UA"/>
    </w:rPr>
  </w:style>
  <w:style w:type="paragraph" w:customStyle="1" w:styleId="rvps14">
    <w:name w:val="rvps14"/>
    <w:basedOn w:val="Normal"/>
    <w:uiPriority w:val="99"/>
    <w:rsid w:val="00332E56"/>
    <w:pPr>
      <w:spacing w:before="100" w:beforeAutospacing="1" w:after="100" w:afterAutospacing="1"/>
    </w:pPr>
    <w:rPr>
      <w:noProof w:val="0"/>
      <w:lang w:eastAsia="uk-UA"/>
    </w:rPr>
  </w:style>
  <w:style w:type="table" w:styleId="TableGrid">
    <w:name w:val="Table Grid"/>
    <w:basedOn w:val="TableNormal"/>
    <w:uiPriority w:val="99"/>
    <w:rsid w:val="001576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F97010"/>
    <w:rPr>
      <w:rFonts w:cs="Times New Roman"/>
    </w:rPr>
  </w:style>
  <w:style w:type="paragraph" w:customStyle="1" w:styleId="normal0">
    <w:name w:val="normal"/>
    <w:uiPriority w:val="99"/>
    <w:rsid w:val="00F97010"/>
    <w:pPr>
      <w:spacing w:line="276" w:lineRule="auto"/>
    </w:pPr>
    <w:rPr>
      <w:rFonts w:ascii="Arial" w:hAnsi="Arial" w:cs="Arial"/>
    </w:rPr>
  </w:style>
  <w:style w:type="character" w:styleId="Hyperlink">
    <w:name w:val="Hyperlink"/>
    <w:basedOn w:val="DefaultParagraphFont"/>
    <w:uiPriority w:val="99"/>
    <w:rsid w:val="007E2B1D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973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73084"/>
    <w:rPr>
      <w:rFonts w:ascii="Courier New" w:hAnsi="Courier New" w:cs="Courier New"/>
      <w:lang w:val="ru-RU" w:eastAsia="ru-RU" w:bidi="ar-SA"/>
    </w:rPr>
  </w:style>
  <w:style w:type="paragraph" w:customStyle="1" w:styleId="1">
    <w:name w:val="Абзац списка1"/>
    <w:basedOn w:val="Normal"/>
    <w:uiPriority w:val="99"/>
    <w:rsid w:val="009C4748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character" w:customStyle="1" w:styleId="2">
    <w:name w:val="Основний текст (2)_"/>
    <w:basedOn w:val="DefaultParagraphFont"/>
    <w:link w:val="20"/>
    <w:uiPriority w:val="99"/>
    <w:locked/>
    <w:rsid w:val="005647E3"/>
    <w:rPr>
      <w:rFonts w:cs="Times New Roman"/>
      <w:sz w:val="28"/>
      <w:szCs w:val="28"/>
      <w:shd w:val="clear" w:color="auto" w:fill="FFFFFF"/>
      <w:lang w:bidi="ar-SA"/>
    </w:rPr>
  </w:style>
  <w:style w:type="paragraph" w:customStyle="1" w:styleId="20">
    <w:name w:val="Основний текст (2)"/>
    <w:basedOn w:val="Normal"/>
    <w:link w:val="2"/>
    <w:uiPriority w:val="99"/>
    <w:rsid w:val="005647E3"/>
    <w:pPr>
      <w:widowControl w:val="0"/>
      <w:shd w:val="clear" w:color="auto" w:fill="FFFFFF"/>
      <w:spacing w:after="300" w:line="322" w:lineRule="exact"/>
      <w:jc w:val="both"/>
    </w:pPr>
    <w:rPr>
      <w:noProof w:val="0"/>
      <w:sz w:val="28"/>
      <w:szCs w:val="28"/>
      <w:shd w:val="clear" w:color="auto" w:fill="FFFFFF"/>
      <w:lang w:eastAsia="uk-UA"/>
    </w:rPr>
  </w:style>
  <w:style w:type="character" w:customStyle="1" w:styleId="2105pt">
    <w:name w:val="Основний текст (2) + 10.5 pt"/>
    <w:basedOn w:val="2"/>
    <w:uiPriority w:val="99"/>
    <w:rsid w:val="005647E3"/>
    <w:rPr>
      <w:color w:val="000000"/>
      <w:spacing w:val="0"/>
      <w:w w:val="100"/>
      <w:position w:val="0"/>
      <w:sz w:val="21"/>
      <w:szCs w:val="21"/>
      <w:lang w:val="uk-UA" w:eastAsia="uk-UA"/>
    </w:rPr>
  </w:style>
  <w:style w:type="paragraph" w:styleId="NormalWeb">
    <w:name w:val="Normal (Web)"/>
    <w:basedOn w:val="Normal"/>
    <w:uiPriority w:val="99"/>
    <w:rsid w:val="000D31EC"/>
    <w:pPr>
      <w:spacing w:before="100" w:beforeAutospacing="1" w:after="100" w:afterAutospacing="1"/>
    </w:pPr>
    <w:rPr>
      <w:noProof w:val="0"/>
      <w:lang w:val="ru-RU"/>
    </w:rPr>
  </w:style>
  <w:style w:type="paragraph" w:customStyle="1" w:styleId="a">
    <w:name w:val="Абзац списку"/>
    <w:basedOn w:val="Normal"/>
    <w:uiPriority w:val="99"/>
    <w:rsid w:val="00EE7514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en-US"/>
    </w:r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 Знак Знак"/>
    <w:basedOn w:val="Normal"/>
    <w:uiPriority w:val="99"/>
    <w:rsid w:val="008840C5"/>
    <w:rPr>
      <w:rFonts w:ascii="Verdana" w:eastAsia="MS Mincho" w:hAnsi="Verdana" w:cs="Verdana"/>
      <w:b/>
      <w:noProof w:val="0"/>
      <w:sz w:val="20"/>
      <w:szCs w:val="20"/>
      <w:lang w:val="en-US" w:eastAsia="en-US"/>
    </w:rPr>
  </w:style>
  <w:style w:type="paragraph" w:customStyle="1" w:styleId="a0">
    <w:name w:val="Нормальний текст"/>
    <w:basedOn w:val="Normal"/>
    <w:uiPriority w:val="99"/>
    <w:rsid w:val="008840C5"/>
    <w:pPr>
      <w:spacing w:before="120"/>
      <w:ind w:firstLine="567"/>
    </w:pPr>
    <w:rPr>
      <w:rFonts w:ascii="Antiqua" w:hAnsi="Antiqua"/>
      <w:noProof w:val="0"/>
      <w:sz w:val="26"/>
      <w:szCs w:val="20"/>
    </w:rPr>
  </w:style>
  <w:style w:type="paragraph" w:customStyle="1" w:styleId="a1">
    <w:name w:val="Назва документа"/>
    <w:basedOn w:val="Normal"/>
    <w:next w:val="a0"/>
    <w:uiPriority w:val="99"/>
    <w:rsid w:val="0010661E"/>
    <w:pPr>
      <w:keepNext/>
      <w:keepLines/>
      <w:spacing w:before="240" w:after="240"/>
      <w:jc w:val="center"/>
    </w:pPr>
    <w:rPr>
      <w:rFonts w:ascii="Antiqua" w:hAnsi="Antiqua"/>
      <w:b/>
      <w:noProof w:val="0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rsid w:val="00B11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11DE"/>
    <w:rPr>
      <w:rFonts w:ascii="Tahoma" w:hAnsi="Tahoma" w:cs="Tahoma"/>
      <w:noProof/>
      <w:sz w:val="16"/>
      <w:szCs w:val="16"/>
      <w:lang w:eastAsia="ru-RU"/>
    </w:rPr>
  </w:style>
  <w:style w:type="paragraph" w:customStyle="1" w:styleId="capitalletter">
    <w:name w:val="capital_letter"/>
    <w:basedOn w:val="Normal"/>
    <w:uiPriority w:val="99"/>
    <w:rsid w:val="002F0C3C"/>
    <w:pPr>
      <w:spacing w:before="100" w:beforeAutospacing="1" w:after="100" w:afterAutospacing="1"/>
    </w:pPr>
    <w:rPr>
      <w:noProof w:val="0"/>
      <w:lang w:eastAsia="uk-UA"/>
    </w:rPr>
  </w:style>
  <w:style w:type="character" w:customStyle="1" w:styleId="xfmc1">
    <w:name w:val="xfmc1"/>
    <w:basedOn w:val="DefaultParagraphFont"/>
    <w:uiPriority w:val="99"/>
    <w:rsid w:val="00081E27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FA01FE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DE2C9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4D70"/>
    <w:rPr>
      <w:rFonts w:cs="Times New Roman"/>
      <w:noProof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DE2C9A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3161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4D70"/>
    <w:rPr>
      <w:rFonts w:cs="Times New Roman"/>
      <w:noProof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1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39wv7bf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kalushcity.gov.ua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spilne.media/ivano-frankivsk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if.gov.ua/ekonomika-if/infrastruktura/transport/transportna-dostupn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nyurl.com/yw73n87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1973</TotalTime>
  <Pages>14</Pages>
  <Words>5184</Words>
  <Characters>29551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Річний звіт</dc:title>
  <dc:subject/>
  <dc:creator>Администратор</dc:creator>
  <cp:keywords/>
  <dc:description/>
  <cp:lastModifiedBy>Администратор</cp:lastModifiedBy>
  <cp:revision>182</cp:revision>
  <cp:lastPrinted>2025-10-30T08:52:00Z</cp:lastPrinted>
  <dcterms:created xsi:type="dcterms:W3CDTF">2025-10-22T11:52:00Z</dcterms:created>
  <dcterms:modified xsi:type="dcterms:W3CDTF">2025-11-03T06:42:00Z</dcterms:modified>
</cp:coreProperties>
</file>