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FA" w:rsidRDefault="00332E56" w:rsidP="00332E56">
      <w:pPr>
        <w:pStyle w:val="rvps14"/>
        <w:spacing w:before="0" w:beforeAutospacing="0" w:after="0" w:afterAutospacing="0"/>
        <w:jc w:val="center"/>
        <w:rPr>
          <w:b/>
          <w:sz w:val="28"/>
          <w:szCs w:val="28"/>
        </w:rPr>
      </w:pPr>
      <w:r>
        <w:rPr>
          <w:b/>
          <w:sz w:val="28"/>
          <w:szCs w:val="28"/>
        </w:rPr>
        <w:t xml:space="preserve">    </w:t>
      </w:r>
    </w:p>
    <w:p w:rsidR="00332E56" w:rsidRDefault="00332E56" w:rsidP="00332E56">
      <w:pPr>
        <w:pStyle w:val="rvps14"/>
        <w:spacing w:before="0" w:beforeAutospacing="0" w:after="0" w:afterAutospacing="0"/>
        <w:jc w:val="center"/>
        <w:rPr>
          <w:b/>
          <w:sz w:val="28"/>
          <w:szCs w:val="28"/>
        </w:rPr>
      </w:pPr>
      <w:r>
        <w:rPr>
          <w:b/>
          <w:sz w:val="28"/>
          <w:szCs w:val="28"/>
        </w:rPr>
        <w:t>Річний звіт</w:t>
      </w:r>
    </w:p>
    <w:p w:rsidR="00157680" w:rsidRPr="00F90A24" w:rsidRDefault="00332E56" w:rsidP="00332E56">
      <w:pPr>
        <w:pStyle w:val="rvps14"/>
        <w:spacing w:before="0" w:beforeAutospacing="0" w:after="0" w:afterAutospacing="0"/>
        <w:jc w:val="center"/>
        <w:rPr>
          <w:b/>
        </w:rPr>
      </w:pPr>
      <w:r w:rsidRPr="00F90A24">
        <w:rPr>
          <w:b/>
        </w:rPr>
        <w:t xml:space="preserve">про виконання заходів, затверджених Планом роботи обласного комітету  </w:t>
      </w:r>
    </w:p>
    <w:p w:rsidR="00F90A24" w:rsidRDefault="00332E56" w:rsidP="00332E56">
      <w:pPr>
        <w:pStyle w:val="rvps14"/>
        <w:spacing w:before="0" w:beforeAutospacing="0" w:after="0" w:afterAutospacing="0"/>
        <w:jc w:val="center"/>
        <w:rPr>
          <w:b/>
        </w:rPr>
      </w:pPr>
      <w:r w:rsidRPr="00F90A24">
        <w:rPr>
          <w:b/>
        </w:rPr>
        <w:t xml:space="preserve">забезпечення доступності осіб з інвалідністю та інших  </w:t>
      </w:r>
      <w:proofErr w:type="spellStart"/>
      <w:r w:rsidRPr="00F90A24">
        <w:rPr>
          <w:b/>
        </w:rPr>
        <w:t>маломобільних</w:t>
      </w:r>
      <w:proofErr w:type="spellEnd"/>
      <w:r w:rsidRPr="00F90A24">
        <w:rPr>
          <w:b/>
        </w:rPr>
        <w:t xml:space="preserve"> груп населення</w:t>
      </w:r>
    </w:p>
    <w:p w:rsidR="00E048B3" w:rsidRDefault="00332E56" w:rsidP="00332E56">
      <w:pPr>
        <w:pStyle w:val="rvps14"/>
        <w:spacing w:before="0" w:beforeAutospacing="0" w:after="0" w:afterAutospacing="0"/>
        <w:jc w:val="center"/>
      </w:pPr>
      <w:r w:rsidRPr="00F90A24">
        <w:rPr>
          <w:b/>
        </w:rPr>
        <w:t xml:space="preserve"> до об</w:t>
      </w:r>
      <w:r w:rsidRPr="00F90A24">
        <w:rPr>
          <w:b/>
          <w:lang w:val="ru-RU"/>
        </w:rPr>
        <w:t>’</w:t>
      </w:r>
      <w:proofErr w:type="spellStart"/>
      <w:r w:rsidRPr="00F90A24">
        <w:rPr>
          <w:b/>
        </w:rPr>
        <w:t>єктів</w:t>
      </w:r>
      <w:proofErr w:type="spellEnd"/>
      <w:r w:rsidRPr="00F90A24">
        <w:rPr>
          <w:b/>
        </w:rPr>
        <w:t xml:space="preserve"> соціальної та інженерно-транспортної</w:t>
      </w:r>
      <w:r w:rsidRPr="00F90A24">
        <w:t xml:space="preserve"> </w:t>
      </w:r>
      <w:r w:rsidR="00222009" w:rsidRPr="00F90A24">
        <w:rPr>
          <w:b/>
        </w:rPr>
        <w:t>інфраструктури  на 2024</w:t>
      </w:r>
      <w:r w:rsidRPr="00F90A24">
        <w:rPr>
          <w:b/>
        </w:rPr>
        <w:t xml:space="preserve"> рік</w:t>
      </w:r>
      <w:r w:rsidRPr="00F90A24">
        <w:t xml:space="preserve"> </w:t>
      </w:r>
    </w:p>
    <w:p w:rsidR="00157680" w:rsidRPr="00F90A24" w:rsidRDefault="00332E56" w:rsidP="00332E56">
      <w:pPr>
        <w:pStyle w:val="rvps14"/>
        <w:spacing w:before="0" w:beforeAutospacing="0" w:after="0" w:afterAutospacing="0"/>
        <w:jc w:val="center"/>
      </w:pPr>
      <w:r w:rsidRPr="00F90A24">
        <w:t xml:space="preserve">  </w:t>
      </w:r>
    </w:p>
    <w:p w:rsidR="005A2D74" w:rsidRDefault="005A2D74" w:rsidP="0091433E">
      <w:pPr>
        <w:ind w:right="38" w:firstLine="600"/>
        <w:jc w:val="both"/>
      </w:pPr>
      <w:r w:rsidRPr="005A2D74">
        <w:rPr>
          <w:szCs w:val="28"/>
        </w:rPr>
        <w:t>При підготовці річного звіту було використано матер</w:t>
      </w:r>
      <w:r>
        <w:rPr>
          <w:szCs w:val="28"/>
        </w:rPr>
        <w:t xml:space="preserve">іали  </w:t>
      </w:r>
      <w:r w:rsidRPr="005A2D74">
        <w:rPr>
          <w:szCs w:val="28"/>
        </w:rPr>
        <w:t xml:space="preserve">про виконання  Плану заходів щодо створення безперешкодного життєвого середовища для осіб з інвалідністю та інших маломобільних груп населення за 2024 рік, які надали до управління містобудування та архітектури департаменту розвитку громад та </w:t>
      </w:r>
      <w:r w:rsidR="001F5C03">
        <w:rPr>
          <w:szCs w:val="28"/>
        </w:rPr>
        <w:t>територій, дорожнього, житлово</w:t>
      </w:r>
      <w:r w:rsidRPr="005A2D74">
        <w:rPr>
          <w:szCs w:val="28"/>
        </w:rPr>
        <w:t>-комунального господарства, містобудування та архітектури о</w:t>
      </w:r>
      <w:r w:rsidR="008840C5">
        <w:rPr>
          <w:szCs w:val="28"/>
        </w:rPr>
        <w:t>блдержадміністрації</w:t>
      </w:r>
      <w:r w:rsidR="00E048B3">
        <w:rPr>
          <w:szCs w:val="28"/>
        </w:rPr>
        <w:t xml:space="preserve">: </w:t>
      </w:r>
      <w:r w:rsidR="008840C5">
        <w:rPr>
          <w:szCs w:val="28"/>
        </w:rPr>
        <w:t xml:space="preserve"> департаменту</w:t>
      </w:r>
      <w:r w:rsidRPr="005A2D74">
        <w:rPr>
          <w:szCs w:val="28"/>
        </w:rPr>
        <w:t xml:space="preserve"> економічного розвитку, промисловості та інфр</w:t>
      </w:r>
      <w:r w:rsidR="00B111DE">
        <w:rPr>
          <w:szCs w:val="28"/>
        </w:rPr>
        <w:t>а</w:t>
      </w:r>
      <w:r w:rsidR="00E048B3">
        <w:rPr>
          <w:szCs w:val="28"/>
        </w:rPr>
        <w:t>структури облдержадміністрації;</w:t>
      </w:r>
      <w:r w:rsidR="00B111DE">
        <w:rPr>
          <w:szCs w:val="28"/>
        </w:rPr>
        <w:t xml:space="preserve"> </w:t>
      </w:r>
      <w:r w:rsidRPr="005A2D74">
        <w:rPr>
          <w:szCs w:val="28"/>
        </w:rPr>
        <w:t xml:space="preserve"> департаменту охорони   здоров’я облдержадміністрації; </w:t>
      </w:r>
      <w:r w:rsidRPr="00F628CC">
        <w:rPr>
          <w:szCs w:val="28"/>
        </w:rPr>
        <w:t>управління з питань цивільного захисту облдержадміністрації</w:t>
      </w:r>
      <w:r w:rsidRPr="005A2D74">
        <w:rPr>
          <w:szCs w:val="28"/>
        </w:rPr>
        <w:t xml:space="preserve">; департаменту соціальної політики облдержадміністрації; управління культури, національностей та релігій облдержадміністрації; департаменту міжнародного співробітництва та євроінтеграції громад облдержадміністрації; </w:t>
      </w:r>
      <w:r w:rsidRPr="00F628CC">
        <w:rPr>
          <w:szCs w:val="28"/>
        </w:rPr>
        <w:t>департаменту освіти та науки облдержадміністрації; управління цифрового розвитку, цифрових трансформацій і цифровізації облдержадміністрації;  управління спорту та молодіжної політики облдержадміністрації; Івано-Франківського обласного центру зайнятості</w:t>
      </w:r>
      <w:r w:rsidR="004C2702">
        <w:rPr>
          <w:szCs w:val="28"/>
        </w:rPr>
        <w:t>; Івано-Франківського регіо</w:t>
      </w:r>
      <w:r w:rsidR="0091433E">
        <w:rPr>
          <w:szCs w:val="28"/>
        </w:rPr>
        <w:t>нального центру підвищення квалі</w:t>
      </w:r>
      <w:r w:rsidR="004C2702">
        <w:rPr>
          <w:szCs w:val="28"/>
        </w:rPr>
        <w:t>фікації;</w:t>
      </w:r>
      <w:r w:rsidRPr="00F628CC">
        <w:rPr>
          <w:szCs w:val="28"/>
        </w:rPr>
        <w:t xml:space="preserve"> Івано-Франківського обласного відділення фонду соціального захисту інвалідів</w:t>
      </w:r>
      <w:r w:rsidR="00EF2E57">
        <w:rPr>
          <w:szCs w:val="28"/>
        </w:rPr>
        <w:t>; Івано-Франуівського відділу надання безоплатної правничої допомоги Південно-Західного управління надання безоплатної правничої допомоги Західного міжрегіонального центру з надання безоплатної правни</w:t>
      </w:r>
      <w:r w:rsidR="0091433E">
        <w:rPr>
          <w:szCs w:val="28"/>
        </w:rPr>
        <w:t>ч</w:t>
      </w:r>
      <w:r w:rsidR="00EF2E57">
        <w:rPr>
          <w:szCs w:val="28"/>
        </w:rPr>
        <w:t>ої допомоги</w:t>
      </w:r>
      <w:r w:rsidRPr="00F628CC">
        <w:rPr>
          <w:szCs w:val="28"/>
        </w:rPr>
        <w:t xml:space="preserve"> та виконавчих органів самоврядування Івано-Франківської області. </w:t>
      </w:r>
    </w:p>
    <w:p w:rsidR="00332E56" w:rsidRPr="00CF2830" w:rsidRDefault="00332E56" w:rsidP="00332E56">
      <w:pPr>
        <w:pStyle w:val="rvps14"/>
        <w:spacing w:before="0" w:beforeAutospacing="0" w:after="0" w:afterAutospacing="0"/>
        <w:jc w:val="center"/>
        <w:rPr>
          <w:sz w:val="16"/>
          <w:szCs w:val="16"/>
        </w:rPr>
      </w:pPr>
      <w:r>
        <w:t xml:space="preserve">     </w:t>
      </w:r>
    </w:p>
    <w:tbl>
      <w:tblPr>
        <w:tblStyle w:val="a3"/>
        <w:tblW w:w="0" w:type="auto"/>
        <w:tblLayout w:type="fixed"/>
        <w:tblLook w:val="01E0"/>
      </w:tblPr>
      <w:tblGrid>
        <w:gridCol w:w="5762"/>
        <w:gridCol w:w="9080"/>
      </w:tblGrid>
      <w:tr w:rsidR="005D249D" w:rsidTr="00654D59">
        <w:tc>
          <w:tcPr>
            <w:tcW w:w="5762" w:type="dxa"/>
          </w:tcPr>
          <w:p w:rsidR="005D249D" w:rsidRPr="00873111" w:rsidRDefault="005D249D" w:rsidP="00F97010">
            <w:pPr>
              <w:spacing w:before="100" w:beforeAutospacing="1" w:after="100" w:afterAutospacing="1"/>
              <w:jc w:val="center"/>
              <w:rPr>
                <w:b/>
              </w:rPr>
            </w:pPr>
            <w:r w:rsidRPr="00873111">
              <w:rPr>
                <w:b/>
              </w:rPr>
              <w:t>Назва заходу</w:t>
            </w:r>
          </w:p>
        </w:tc>
        <w:tc>
          <w:tcPr>
            <w:tcW w:w="9080" w:type="dxa"/>
          </w:tcPr>
          <w:p w:rsidR="005D249D" w:rsidRPr="00873111" w:rsidRDefault="005D249D" w:rsidP="00F97010">
            <w:pPr>
              <w:spacing w:before="100" w:beforeAutospacing="1" w:after="100" w:afterAutospacing="1"/>
              <w:jc w:val="center"/>
              <w:rPr>
                <w:b/>
              </w:rPr>
            </w:pPr>
            <w:r>
              <w:rPr>
                <w:b/>
              </w:rPr>
              <w:t>Виконання</w:t>
            </w:r>
          </w:p>
        </w:tc>
      </w:tr>
      <w:tr w:rsidR="005D249D" w:rsidTr="00654D59">
        <w:tc>
          <w:tcPr>
            <w:tcW w:w="5762" w:type="dxa"/>
          </w:tcPr>
          <w:p w:rsidR="005D249D" w:rsidRPr="00116C4C" w:rsidRDefault="005D249D" w:rsidP="00222009">
            <w:pPr>
              <w:pStyle w:val="normal"/>
              <w:spacing w:before="60" w:line="223" w:lineRule="auto"/>
              <w:rPr>
                <w:rFonts w:ascii="Times New Roman" w:hAnsi="Times New Roman" w:cs="Times New Roman"/>
                <w:lang w:val="uk-UA"/>
              </w:rPr>
            </w:pPr>
            <w:r w:rsidRPr="00116C4C">
              <w:rPr>
                <w:rFonts w:ascii="Times New Roman" w:hAnsi="Times New Roman" w:cs="Times New Roman"/>
                <w:sz w:val="24"/>
                <w:szCs w:val="24"/>
                <w:lang w:val="uk-UA"/>
              </w:rPr>
              <w:t xml:space="preserve">Опрацювання питання доступності осіб з інвалідністю та інших </w:t>
            </w:r>
            <w:proofErr w:type="spellStart"/>
            <w:r w:rsidRPr="00116C4C">
              <w:rPr>
                <w:rFonts w:ascii="Times New Roman" w:hAnsi="Times New Roman" w:cs="Times New Roman"/>
                <w:sz w:val="24"/>
                <w:szCs w:val="24"/>
                <w:lang w:val="uk-UA"/>
              </w:rPr>
              <w:t>маломобільних</w:t>
            </w:r>
            <w:proofErr w:type="spellEnd"/>
            <w:r w:rsidRPr="00116C4C">
              <w:rPr>
                <w:rFonts w:ascii="Times New Roman" w:hAnsi="Times New Roman" w:cs="Times New Roman"/>
                <w:sz w:val="24"/>
                <w:szCs w:val="24"/>
                <w:lang w:val="uk-UA"/>
              </w:rPr>
              <w:t xml:space="preserve"> груп населення до захисних споруд, споруд подвійного призначення та найпростіших укриттів цивільного захисту</w:t>
            </w:r>
            <w:r w:rsidR="00F96573">
              <w:rPr>
                <w:rFonts w:ascii="Times New Roman" w:hAnsi="Times New Roman" w:cs="Times New Roman"/>
                <w:sz w:val="24"/>
                <w:szCs w:val="24"/>
                <w:lang w:val="uk-UA"/>
              </w:rPr>
              <w:t>.</w:t>
            </w:r>
          </w:p>
        </w:tc>
        <w:tc>
          <w:tcPr>
            <w:tcW w:w="9080" w:type="dxa"/>
          </w:tcPr>
          <w:p w:rsidR="005D249D" w:rsidRDefault="005D249D" w:rsidP="008840C5">
            <w:pPr>
              <w:widowControl w:val="0"/>
              <w:autoSpaceDE w:val="0"/>
              <w:autoSpaceDN w:val="0"/>
              <w:adjustRightInd w:val="0"/>
              <w:ind w:firstLine="268"/>
              <w:jc w:val="both"/>
              <w:rPr>
                <w:szCs w:val="28"/>
              </w:rPr>
            </w:pPr>
            <w:r>
              <w:rPr>
                <w:szCs w:val="28"/>
              </w:rPr>
              <w:t>Управлінням з питань цивільного захисту облдержадміністрації разом з районними державними адміністраціями та органами місцевого самоврядування впродовж року опрацьовувались питання доступності осіб з інвалідністю та інших маломобільних груп населення до захисних споруд, споруд подвійного призначення та найпростіших укриттів цивільного захисту.</w:t>
            </w:r>
          </w:p>
          <w:p w:rsidR="005D249D" w:rsidRDefault="005D249D" w:rsidP="008840C5">
            <w:pPr>
              <w:widowControl w:val="0"/>
              <w:autoSpaceDE w:val="0"/>
              <w:autoSpaceDN w:val="0"/>
              <w:adjustRightInd w:val="0"/>
              <w:ind w:firstLine="268"/>
              <w:jc w:val="both"/>
              <w:rPr>
                <w:szCs w:val="28"/>
              </w:rPr>
            </w:pPr>
            <w:r>
              <w:rPr>
                <w:szCs w:val="28"/>
              </w:rPr>
              <w:t>Під час проведення щоквартальних перевірок об’єктів фонду захисних споруд проводився моніторинг щодо забезпечення доступності об’єктів фонду захисних споруд цивільного захисту для осіб з інвалідністю та інших маломобільних груп населення.</w:t>
            </w:r>
          </w:p>
          <w:p w:rsidR="005D249D" w:rsidRPr="00116C4C" w:rsidRDefault="005D249D" w:rsidP="008840C5">
            <w:pPr>
              <w:widowControl w:val="0"/>
              <w:autoSpaceDE w:val="0"/>
              <w:autoSpaceDN w:val="0"/>
              <w:adjustRightInd w:val="0"/>
              <w:ind w:firstLine="268"/>
              <w:jc w:val="both"/>
            </w:pPr>
            <w:r w:rsidRPr="008017FD">
              <w:t>Органами місцевого самоврядування розроблено і затверджено плани облаштування об’єктів фонду захисних споруд цивільного захисту, засобами, що забезпечують безперешкодний доступ маломобільних груп населення, зокрема осіб з інвалідністю та вживаються заходи з облаштування захисних споруд, найпростіших укриттів засобами безбар’єрності.</w:t>
            </w:r>
          </w:p>
          <w:p w:rsidR="005D249D" w:rsidRPr="008017FD" w:rsidRDefault="005D249D" w:rsidP="008840C5">
            <w:pPr>
              <w:ind w:firstLine="268"/>
              <w:jc w:val="both"/>
            </w:pPr>
            <w:r w:rsidRPr="008017FD">
              <w:t>Впродовж звітного періоду  в області облаштовано 6 % об’єктів фонду захисних споруд цивільного захисту засобами, що  забезпечують їх доступність для осіб з інвалідністю</w:t>
            </w:r>
            <w:r>
              <w:t xml:space="preserve"> та</w:t>
            </w:r>
            <w:r w:rsidRPr="008017FD">
              <w:t xml:space="preserve"> маломобільних груп населен</w:t>
            </w:r>
            <w:r>
              <w:t>ня, зокрема:</w:t>
            </w:r>
          </w:p>
          <w:p w:rsidR="005D249D" w:rsidRDefault="005D249D" w:rsidP="008840C5">
            <w:pPr>
              <w:pStyle w:val="a5"/>
              <w:spacing w:before="0" w:beforeAutospacing="0" w:after="0" w:afterAutospacing="0"/>
              <w:ind w:firstLine="268"/>
              <w:jc w:val="both"/>
              <w:rPr>
                <w:lang w:val="uk-UA"/>
              </w:rPr>
            </w:pPr>
            <w:proofErr w:type="gramStart"/>
            <w:r w:rsidRPr="008017FD">
              <w:t xml:space="preserve">В </w:t>
            </w:r>
            <w:proofErr w:type="spellStart"/>
            <w:r w:rsidRPr="008017FD">
              <w:t>Навчально-реабілітаційному</w:t>
            </w:r>
            <w:proofErr w:type="spellEnd"/>
            <w:r w:rsidRPr="008017FD">
              <w:t xml:space="preserve"> </w:t>
            </w:r>
            <w:proofErr w:type="spellStart"/>
            <w:r w:rsidRPr="008017FD">
              <w:t>центрі</w:t>
            </w:r>
            <w:proofErr w:type="spellEnd"/>
            <w:r w:rsidRPr="008017FD">
              <w:t xml:space="preserve"> </w:t>
            </w:r>
            <w:proofErr w:type="spellStart"/>
            <w:r w:rsidRPr="008017FD">
              <w:t>Івано-Франківської</w:t>
            </w:r>
            <w:proofErr w:type="spellEnd"/>
            <w:r w:rsidRPr="008017FD">
              <w:t xml:space="preserve"> </w:t>
            </w:r>
            <w:proofErr w:type="spellStart"/>
            <w:r w:rsidRPr="008017FD">
              <w:t>міської</w:t>
            </w:r>
            <w:proofErr w:type="spellEnd"/>
            <w:r w:rsidRPr="008017FD">
              <w:t xml:space="preserve"> ради </w:t>
            </w:r>
            <w:r>
              <w:br/>
            </w:r>
            <w:r w:rsidRPr="008017FD">
              <w:lastRenderedPageBreak/>
              <w:t>(</w:t>
            </w:r>
            <w:proofErr w:type="spellStart"/>
            <w:r w:rsidRPr="008017FD">
              <w:t>вул</w:t>
            </w:r>
            <w:proofErr w:type="spellEnd"/>
            <w:r w:rsidRPr="008017FD">
              <w:t>.</w:t>
            </w:r>
            <w:proofErr w:type="gramEnd"/>
            <w:r w:rsidRPr="008017FD">
              <w:t xml:space="preserve"> Хоткевича, 52а) </w:t>
            </w:r>
            <w:proofErr w:type="spellStart"/>
            <w:r w:rsidRPr="008017FD">
              <w:t>встановлено</w:t>
            </w:r>
            <w:proofErr w:type="spellEnd"/>
            <w:r w:rsidRPr="008017FD">
              <w:t xml:space="preserve"> платформу </w:t>
            </w:r>
            <w:proofErr w:type="spellStart"/>
            <w:proofErr w:type="gramStart"/>
            <w:r w:rsidRPr="008017FD">
              <w:t>п</w:t>
            </w:r>
            <w:proofErr w:type="gramEnd"/>
            <w:r w:rsidRPr="008017FD">
              <w:t>ідйомник</w:t>
            </w:r>
            <w:proofErr w:type="spellEnd"/>
            <w:r w:rsidRPr="008017FD">
              <w:t>.</w:t>
            </w:r>
            <w:r>
              <w:t xml:space="preserve"> </w:t>
            </w:r>
            <w:proofErr w:type="spellStart"/>
            <w:r>
              <w:t>Окрім</w:t>
            </w:r>
            <w:proofErr w:type="spellEnd"/>
            <w:r>
              <w:t xml:space="preserve"> того,</w:t>
            </w:r>
            <w:r>
              <w:rPr>
                <w:lang w:val="uk-UA"/>
              </w:rPr>
              <w:t xml:space="preserve"> в</w:t>
            </w:r>
            <w:r w:rsidRPr="000D31EC">
              <w:rPr>
                <w:lang w:val="uk-UA"/>
              </w:rPr>
              <w:t xml:space="preserve"> мі</w:t>
            </w:r>
            <w:proofErr w:type="gramStart"/>
            <w:r w:rsidRPr="000D31EC">
              <w:rPr>
                <w:lang w:val="uk-UA"/>
              </w:rPr>
              <w:t>ст</w:t>
            </w:r>
            <w:proofErr w:type="gramEnd"/>
            <w:r w:rsidRPr="000D31EC">
              <w:rPr>
                <w:lang w:val="uk-UA"/>
              </w:rPr>
              <w:t xml:space="preserve">і </w:t>
            </w:r>
            <w:r w:rsidR="00E048B3">
              <w:rPr>
                <w:lang w:val="uk-UA"/>
              </w:rPr>
              <w:br/>
            </w:r>
            <w:r w:rsidRPr="000D31EC">
              <w:rPr>
                <w:lang w:val="uk-UA"/>
              </w:rPr>
              <w:t>Івано-Франківську</w:t>
            </w:r>
            <w:r w:rsidRPr="000D31EC">
              <w:t> </w:t>
            </w:r>
            <w:hyperlink r:id="rId5" w:history="1">
              <w:r w:rsidRPr="000D31EC">
                <w:rPr>
                  <w:rStyle w:val="a4"/>
                  <w:lang w:val="uk-UA"/>
                </w:rPr>
                <w:t>Управління з питань надзвичайних ситуацій Івано-Франківської міської ради</w:t>
              </w:r>
            </w:hyperlink>
            <w:r w:rsidRPr="000D31EC">
              <w:t> </w:t>
            </w:r>
            <w:r>
              <w:rPr>
                <w:lang w:val="uk-UA"/>
              </w:rPr>
              <w:t>розмістило</w:t>
            </w:r>
            <w:r w:rsidRPr="000D31EC">
              <w:rPr>
                <w:lang w:val="uk-UA"/>
              </w:rPr>
              <w:t xml:space="preserve"> оновлену мапу захисних споруд та найпростіших </w:t>
            </w:r>
            <w:proofErr w:type="spellStart"/>
            <w:r w:rsidRPr="000D31EC">
              <w:rPr>
                <w:lang w:val="uk-UA"/>
              </w:rPr>
              <w:t>укритів</w:t>
            </w:r>
            <w:proofErr w:type="spellEnd"/>
            <w:r w:rsidRPr="000D31EC">
              <w:rPr>
                <w:lang w:val="uk-UA"/>
              </w:rPr>
              <w:t xml:space="preserve"> цивільного</w:t>
            </w:r>
            <w:r w:rsidR="00E048B3">
              <w:rPr>
                <w:lang w:val="uk-UA"/>
              </w:rPr>
              <w:t xml:space="preserve"> захисту</w:t>
            </w:r>
            <w:r w:rsidRPr="000D31EC">
              <w:rPr>
                <w:lang w:val="uk-UA"/>
              </w:rPr>
              <w:t xml:space="preserve"> на офіційному сайті міста Івано-Франківська.</w:t>
            </w:r>
            <w:r w:rsidRPr="000D31EC">
              <w:t> </w:t>
            </w:r>
          </w:p>
          <w:p w:rsidR="005D249D" w:rsidRPr="004A7F8E" w:rsidRDefault="005D249D" w:rsidP="008840C5">
            <w:pPr>
              <w:pStyle w:val="a5"/>
              <w:spacing w:before="0" w:beforeAutospacing="0" w:after="0" w:afterAutospacing="0"/>
              <w:ind w:firstLine="268"/>
              <w:jc w:val="both"/>
              <w:rPr>
                <w:lang w:val="uk-UA"/>
              </w:rPr>
            </w:pPr>
            <w:proofErr w:type="gramStart"/>
            <w:r w:rsidRPr="000D31EC">
              <w:t>З</w:t>
            </w:r>
            <w:proofErr w:type="gramEnd"/>
            <w:r w:rsidRPr="000D31EC">
              <w:t xml:space="preserve"> нею </w:t>
            </w:r>
            <w:proofErr w:type="spellStart"/>
            <w:r w:rsidRPr="000D31EC">
              <w:t>можна</w:t>
            </w:r>
            <w:proofErr w:type="spellEnd"/>
            <w:r w:rsidRPr="000D31EC">
              <w:t xml:space="preserve"> </w:t>
            </w:r>
            <w:proofErr w:type="spellStart"/>
            <w:r w:rsidRPr="000D31EC">
              <w:t>ознайомитись</w:t>
            </w:r>
            <w:proofErr w:type="spellEnd"/>
            <w:r w:rsidRPr="000D31EC">
              <w:t xml:space="preserve"> за </w:t>
            </w:r>
            <w:proofErr w:type="spellStart"/>
            <w:r w:rsidRPr="000D31EC">
              <w:t>посиланням</w:t>
            </w:r>
            <w:proofErr w:type="spellEnd"/>
            <w:r w:rsidRPr="000D31EC">
              <w:t xml:space="preserve"> </w:t>
            </w:r>
            <w:r w:rsidR="00116C4C">
              <w:rPr>
                <w:noProof/>
                <w:color w:val="050505"/>
                <w:shd w:val="clear" w:color="auto" w:fill="E4E6EB"/>
                <w:lang w:val="uk-UA" w:eastAsia="uk-UA"/>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0D31EC">
                <w:rPr>
                  <w:rStyle w:val="a4"/>
                </w:rPr>
                <w:t>https://bit.ly/3aVLXdg</w:t>
              </w:r>
            </w:hyperlink>
            <w:r w:rsidRPr="000D31EC">
              <w:t>.  </w:t>
            </w:r>
            <w:proofErr w:type="spellStart"/>
            <w:r w:rsidRPr="000D31EC">
              <w:t>Мапа</w:t>
            </w:r>
            <w:proofErr w:type="spellEnd"/>
            <w:r w:rsidRPr="000D31EC">
              <w:t xml:space="preserve"> </w:t>
            </w:r>
            <w:r w:rsidR="004A7F8E">
              <w:rPr>
                <w:lang w:val="uk-UA"/>
              </w:rPr>
              <w:t>ОНОВЛЮЄТЬСЯ.</w:t>
            </w:r>
          </w:p>
          <w:p w:rsidR="005D249D" w:rsidRPr="00116C4C" w:rsidRDefault="005D249D" w:rsidP="008840C5">
            <w:pPr>
              <w:widowControl w:val="0"/>
              <w:autoSpaceDE w:val="0"/>
              <w:autoSpaceDN w:val="0"/>
              <w:adjustRightInd w:val="0"/>
              <w:ind w:firstLine="268"/>
              <w:jc w:val="both"/>
              <w:rPr>
                <w:lang w:val="ru-RU"/>
              </w:rPr>
            </w:pPr>
            <w:r w:rsidRPr="008017FD">
              <w:t xml:space="preserve">Інформація щодо облаштування доступного укриття у </w:t>
            </w:r>
            <w:r w:rsidRPr="008017FD">
              <w:rPr>
                <w:shd w:val="clear" w:color="auto" w:fill="FFFFFF"/>
              </w:rPr>
              <w:t xml:space="preserve">КНП «Коломийська центральна районна лікарня» розміщена за посиланням: </w:t>
            </w:r>
            <w:hyperlink r:id="rId8" w:history="1">
              <w:r w:rsidRPr="008017FD">
                <w:rPr>
                  <w:rStyle w:val="a4"/>
                  <w:rFonts w:eastAsia="Calibri"/>
                  <w:lang w:eastAsia="en-US"/>
                </w:rPr>
                <w:t>https://kolrada.gov.ua/news/ogolosennya-shhodo-oblastuvannya-dostupnogo-ukrittya</w:t>
              </w:r>
            </w:hyperlink>
          </w:p>
          <w:p w:rsidR="005D249D" w:rsidRPr="008F1CD9" w:rsidRDefault="005D249D" w:rsidP="008840C5">
            <w:pPr>
              <w:ind w:firstLine="268"/>
              <w:jc w:val="both"/>
            </w:pPr>
            <w:r w:rsidRPr="008F1CD9">
              <w:t>У 5 інтернатних закладах облаштовано укриття, а у 3 – для укриття використовуються споруди подвійного призначення, а саме: перший поверх приміщення, зокрема:</w:t>
            </w:r>
          </w:p>
          <w:p w:rsidR="005D249D" w:rsidRPr="008F1CD9" w:rsidRDefault="005D249D" w:rsidP="008840C5">
            <w:pPr>
              <w:ind w:firstLine="268"/>
              <w:jc w:val="both"/>
              <w:rPr>
                <w:color w:val="000000"/>
              </w:rPr>
            </w:pPr>
            <w:r w:rsidRPr="008F1CD9">
              <w:rPr>
                <w:color w:val="000000"/>
              </w:rPr>
              <w:t>Івано-Франківський гері</w:t>
            </w:r>
            <w:r>
              <w:rPr>
                <w:color w:val="000000"/>
              </w:rPr>
              <w:t>атричний пансіонат  –  підвальне  приміщення, яке</w:t>
            </w:r>
            <w:r w:rsidRPr="008F1CD9">
              <w:rPr>
                <w:color w:val="000000"/>
              </w:rPr>
              <w:t xml:space="preserve"> прис</w:t>
            </w:r>
            <w:r>
              <w:rPr>
                <w:color w:val="000000"/>
              </w:rPr>
              <w:t>тосоване</w:t>
            </w:r>
            <w:r w:rsidRPr="008F1CD9">
              <w:rPr>
                <w:color w:val="000000"/>
              </w:rPr>
              <w:t xml:space="preserve"> під у</w:t>
            </w:r>
            <w:r w:rsidR="00F96573">
              <w:rPr>
                <w:color w:val="000000"/>
              </w:rPr>
              <w:t>криття і розраховане на 80 осіб;</w:t>
            </w:r>
          </w:p>
          <w:p w:rsidR="005D249D" w:rsidRPr="008F1CD9" w:rsidRDefault="005D249D" w:rsidP="008840C5">
            <w:pPr>
              <w:ind w:firstLine="268"/>
              <w:jc w:val="both"/>
              <w:rPr>
                <w:color w:val="000000"/>
              </w:rPr>
            </w:pPr>
            <w:r w:rsidRPr="008F1CD9">
              <w:rPr>
                <w:color w:val="000000"/>
              </w:rPr>
              <w:t xml:space="preserve">Коломийський геріатричний пансіонат  – має вбудоване протирадіаційне укриття, розраховане на </w:t>
            </w:r>
            <w:r w:rsidR="00F96573">
              <w:rPr>
                <w:color w:val="000000"/>
              </w:rPr>
              <w:t>225 осіб;</w:t>
            </w:r>
          </w:p>
          <w:p w:rsidR="005D249D" w:rsidRPr="008F1CD9" w:rsidRDefault="005D249D" w:rsidP="008840C5">
            <w:pPr>
              <w:ind w:firstLine="268"/>
              <w:jc w:val="both"/>
            </w:pPr>
            <w:r w:rsidRPr="008F1CD9">
              <w:rPr>
                <w:color w:val="000000"/>
              </w:rPr>
              <w:t>Коршівський геріатричний пансіонат –</w:t>
            </w:r>
            <w:r w:rsidRPr="008F1CD9">
              <w:t xml:space="preserve"> перший поверх приміщення  використовується  як </w:t>
            </w:r>
            <w:r w:rsidR="00F96573">
              <w:t>споруда  подвійного призначення;</w:t>
            </w:r>
          </w:p>
          <w:p w:rsidR="005D249D" w:rsidRPr="008F1CD9" w:rsidRDefault="005D249D" w:rsidP="008840C5">
            <w:pPr>
              <w:ind w:firstLine="268"/>
              <w:jc w:val="both"/>
              <w:rPr>
                <w:color w:val="000000"/>
              </w:rPr>
            </w:pPr>
            <w:r w:rsidRPr="008F1CD9">
              <w:rPr>
                <w:color w:val="000000"/>
              </w:rPr>
              <w:t>Делятинський психоневрологічний інтернат – на території інтернату знаходиться протирадіаційне у</w:t>
            </w:r>
            <w:r w:rsidR="00F96573">
              <w:rPr>
                <w:color w:val="000000"/>
              </w:rPr>
              <w:t>криття розраховане  на 300 осіб;</w:t>
            </w:r>
          </w:p>
          <w:p w:rsidR="005D249D" w:rsidRPr="008F1CD9" w:rsidRDefault="005D249D" w:rsidP="008840C5">
            <w:pPr>
              <w:ind w:firstLine="268"/>
              <w:jc w:val="both"/>
              <w:rPr>
                <w:color w:val="000000"/>
              </w:rPr>
            </w:pPr>
            <w:r w:rsidRPr="008F1CD9">
              <w:rPr>
                <w:color w:val="000000"/>
              </w:rPr>
              <w:t xml:space="preserve">Коломийський психоневрологічний інтернат – для укриття </w:t>
            </w:r>
            <w:r w:rsidRPr="008F1CD9">
              <w:t>використовується перший поверх приміщення</w:t>
            </w:r>
            <w:r w:rsidRPr="008F1CD9">
              <w:rPr>
                <w:color w:val="000000"/>
              </w:rPr>
              <w:t xml:space="preserve"> та укладено договір про надання заглиблених приміщень (тимчасових сховищ) у безоплатне користування з Коломийським закладом дошкільної освіти (Ясла-садок) №</w:t>
            </w:r>
            <w:r w:rsidR="0088347C">
              <w:rPr>
                <w:color w:val="000000"/>
              </w:rPr>
              <w:t xml:space="preserve"> </w:t>
            </w:r>
            <w:r w:rsidRPr="008F1CD9">
              <w:rPr>
                <w:color w:val="000000"/>
              </w:rPr>
              <w:t>18.</w:t>
            </w:r>
          </w:p>
          <w:p w:rsidR="005D249D" w:rsidRPr="008F1CD9" w:rsidRDefault="005D249D" w:rsidP="008840C5">
            <w:pPr>
              <w:ind w:firstLine="268"/>
              <w:jc w:val="both"/>
              <w:rPr>
                <w:color w:val="000000"/>
              </w:rPr>
            </w:pPr>
            <w:r w:rsidRPr="008F1CD9">
              <w:rPr>
                <w:color w:val="000000"/>
              </w:rPr>
              <w:t xml:space="preserve">Погонянський психоневрологічний інтернат – для укриття </w:t>
            </w:r>
            <w:r w:rsidRPr="008F1CD9">
              <w:t>використовується перший поверх приміщення. В</w:t>
            </w:r>
            <w:r w:rsidRPr="008F1CD9">
              <w:rPr>
                <w:color w:val="000000"/>
              </w:rPr>
              <w:t xml:space="preserve">ідповідно до Плану евакуації жителів інтернату, як укриття  передбачено цокольне приміщення нової церкви монастиря Успіння Матері Божої ЧСВВ, яке знаходиться за </w:t>
            </w:r>
            <w:smartTag w:uri="urn:schemas-microsoft-com:office:smarttags" w:element="metricconverter">
              <w:smartTagPr>
                <w:attr w:name="ProductID" w:val="260 м"/>
              </w:smartTagPr>
              <w:r w:rsidRPr="008F1CD9">
                <w:rPr>
                  <w:color w:val="000000"/>
                </w:rPr>
                <w:t>260 м</w:t>
              </w:r>
            </w:smartTag>
            <w:r w:rsidRPr="008F1CD9">
              <w:rPr>
                <w:color w:val="000000"/>
              </w:rPr>
              <w:t xml:space="preserve"> від інтернату.</w:t>
            </w:r>
          </w:p>
          <w:p w:rsidR="005D249D" w:rsidRPr="008F1CD9" w:rsidRDefault="005D249D" w:rsidP="008840C5">
            <w:pPr>
              <w:ind w:firstLine="268"/>
              <w:jc w:val="both"/>
              <w:rPr>
                <w:color w:val="000000"/>
              </w:rPr>
            </w:pPr>
            <w:r w:rsidRPr="008F1CD9">
              <w:rPr>
                <w:color w:val="000000"/>
              </w:rPr>
              <w:t>Снятинський психоневрологічний інтернат – облаштовано підвали для укриття підопічних у разі необхідності, які забезпечені всім необхідним.</w:t>
            </w:r>
          </w:p>
          <w:p w:rsidR="005D249D" w:rsidRPr="00FF4916" w:rsidRDefault="005D249D" w:rsidP="008840C5">
            <w:pPr>
              <w:widowControl w:val="0"/>
              <w:autoSpaceDE w:val="0"/>
              <w:autoSpaceDN w:val="0"/>
              <w:adjustRightInd w:val="0"/>
              <w:ind w:firstLine="268"/>
              <w:jc w:val="both"/>
            </w:pPr>
            <w:r w:rsidRPr="008F1CD9">
              <w:t xml:space="preserve">У Залучанському дитячому будинку-інтернаті для забезпечення захисту підопічних/вихованців у разі надзвичайних ситуацій </w:t>
            </w:r>
            <w:r w:rsidRPr="008F1CD9">
              <w:rPr>
                <w:rFonts w:eastAsia="Calibri"/>
                <w:color w:val="000000"/>
              </w:rPr>
              <w:t>повністю відремонтовано підвальне приміщення спального корпусу, яке використовується як укриття. Воно укомплектоване засобами пожежогасіння, необхідними засобами медицини та гігієни, питною водою, місцями для сидіння, теплими речами. Постійно наявний стратегічний запас харчів, медикаментів, засобів гігієни на 2-3 місяці.</w:t>
            </w:r>
          </w:p>
        </w:tc>
      </w:tr>
      <w:tr w:rsidR="005D249D" w:rsidTr="00654D59">
        <w:trPr>
          <w:trHeight w:val="1800"/>
        </w:trPr>
        <w:tc>
          <w:tcPr>
            <w:tcW w:w="5762" w:type="dxa"/>
          </w:tcPr>
          <w:p w:rsidR="005D249D" w:rsidRDefault="005D249D" w:rsidP="00222009">
            <w:pPr>
              <w:pStyle w:val="normal"/>
              <w:spacing w:before="60" w:line="223" w:lineRule="auto"/>
              <w:rPr>
                <w:rFonts w:ascii="Times New Roman" w:hAnsi="Times New Roman" w:cs="Times New Roman"/>
                <w:sz w:val="24"/>
                <w:szCs w:val="24"/>
                <w:lang w:val="uk-UA"/>
              </w:rPr>
            </w:pPr>
            <w:r w:rsidRPr="00116C4C">
              <w:rPr>
                <w:rFonts w:ascii="Times New Roman" w:hAnsi="Times New Roman" w:cs="Times New Roman"/>
                <w:sz w:val="24"/>
                <w:szCs w:val="24"/>
                <w:lang w:val="uk-UA"/>
              </w:rPr>
              <w:lastRenderedPageBreak/>
              <w:t>Забезпечення висвітлення інформації для підвищення рівня обізнаності населення щодо  питань інвалідності та заходів, які здійснюються на регіональному та місцевому рівнях в напрямку створення сприятливих умов життєдіяльності для осіб з інвалідністю</w:t>
            </w:r>
            <w:r>
              <w:rPr>
                <w:rFonts w:ascii="Times New Roman" w:hAnsi="Times New Roman" w:cs="Times New Roman"/>
                <w:sz w:val="24"/>
                <w:szCs w:val="24"/>
                <w:lang w:val="uk-UA"/>
              </w:rPr>
              <w:t>.</w:t>
            </w:r>
          </w:p>
          <w:p w:rsidR="005D249D" w:rsidRPr="00AD4EF8" w:rsidRDefault="005D249D" w:rsidP="00222009">
            <w:pPr>
              <w:pStyle w:val="normal"/>
              <w:spacing w:before="60" w:line="223" w:lineRule="auto"/>
              <w:rPr>
                <w:rFonts w:ascii="Times New Roman" w:hAnsi="Times New Roman" w:cs="Times New Roman"/>
                <w:sz w:val="24"/>
                <w:szCs w:val="24"/>
                <w:lang w:val="uk-UA"/>
              </w:rPr>
            </w:pPr>
          </w:p>
        </w:tc>
        <w:tc>
          <w:tcPr>
            <w:tcW w:w="9080" w:type="dxa"/>
            <w:vMerge w:val="restart"/>
          </w:tcPr>
          <w:p w:rsidR="005D249D" w:rsidRDefault="005D249D" w:rsidP="00397A24">
            <w:pPr>
              <w:ind w:firstLine="279"/>
              <w:jc w:val="both"/>
            </w:pPr>
            <w:r w:rsidRPr="005647E3">
              <w:rPr>
                <w:szCs w:val="28"/>
              </w:rPr>
              <w:t>На офіційних веб-сайтах місцевих державних адміністрацій, орг</w:t>
            </w:r>
            <w:r>
              <w:rPr>
                <w:szCs w:val="28"/>
              </w:rPr>
              <w:t>анів самоврядування, у засобах масової інформації</w:t>
            </w:r>
            <w:r w:rsidRPr="005647E3">
              <w:rPr>
                <w:szCs w:val="28"/>
              </w:rPr>
              <w:t xml:space="preserve"> постійно висвітлюються питання осіб з інвалідністю та інформація про заходи, спрямовані на забезпечення дотримання прав людей з інвалідністю</w:t>
            </w:r>
            <w:r>
              <w:rPr>
                <w:szCs w:val="28"/>
              </w:rPr>
              <w:t>.</w:t>
            </w:r>
          </w:p>
          <w:p w:rsidR="005D249D" w:rsidRPr="001850DE" w:rsidRDefault="005D249D" w:rsidP="00397A24">
            <w:pPr>
              <w:ind w:firstLine="279"/>
              <w:jc w:val="both"/>
            </w:pPr>
            <w:r w:rsidRPr="001850DE">
              <w:t>Відповідно до проведеного моніторингу інформація, що оприлюднюється на вебсайтах Івано-Франківської (https://ivano-frankivska-rda.gov.ua/), Верховинської</w:t>
            </w:r>
            <w:r>
              <w:t xml:space="preserve"> </w:t>
            </w:r>
            <w:r w:rsidRPr="001850DE">
              <w:t>(https://verhovuna-rda.gov.ua/), Коломийської (https://kolrda.gov.ua/) Калуської РВА</w:t>
            </w:r>
            <w:r>
              <w:t xml:space="preserve"> (</w:t>
            </w:r>
            <w:hyperlink r:id="rId9" w:history="1">
              <w:r w:rsidRPr="0014400A">
                <w:rPr>
                  <w:rStyle w:val="a4"/>
                </w:rPr>
                <w:t>https://kalushrda.gov.ua/</w:t>
              </w:r>
            </w:hyperlink>
            <w:r>
              <w:t xml:space="preserve">) </w:t>
            </w:r>
            <w:r w:rsidRPr="001850DE">
              <w:t xml:space="preserve"> відповідає нормам доступності для осіб з інвалідністю (зокрема для осіб з порушеннями слуху, зору та інтелектуальними порушеннями). </w:t>
            </w:r>
            <w:r>
              <w:br/>
            </w:r>
            <w:r w:rsidRPr="001850DE">
              <w:t>В Косівській (https://kosivrda.gov.ua/)та Надвірнянській (https://nadrda.gov.ua/) РВА – відповідає частково.</w:t>
            </w:r>
          </w:p>
          <w:p w:rsidR="005D249D" w:rsidRPr="001850DE" w:rsidRDefault="005D249D" w:rsidP="00397A24">
            <w:pPr>
              <w:ind w:firstLine="279"/>
              <w:jc w:val="both"/>
            </w:pPr>
            <w:r w:rsidRPr="001850DE">
              <w:t>У 10 міських, селищних, сільських територіальних громадах (далі – ТГ) Івано-Франківської РВА інформації, що оприлюднюються на їх власних вебсайтах, відповідають нормам доступності для осіб з інвалідністю (зокрема для осіб з порушеннями слуху, зору та інтелектуальними порушеннями), а в 11 ТГ – відповідають частково.</w:t>
            </w:r>
          </w:p>
          <w:p w:rsidR="005D249D" w:rsidRPr="001850DE" w:rsidRDefault="005D249D" w:rsidP="00397A24">
            <w:pPr>
              <w:ind w:firstLine="279"/>
              <w:jc w:val="both"/>
            </w:pPr>
            <w:r w:rsidRPr="001850DE">
              <w:t>В 3 селищних та сільських ТГ Верховинської РВА та в 13 міських, селищних, сільських ТГ Коломийської РВА вищевказані інформації відповідають нормам доступності.</w:t>
            </w:r>
          </w:p>
          <w:p w:rsidR="005D249D" w:rsidRPr="001850DE" w:rsidRDefault="005D249D" w:rsidP="005D249D">
            <w:pPr>
              <w:ind w:firstLine="279"/>
              <w:jc w:val="both"/>
            </w:pPr>
            <w:r w:rsidRPr="001850DE">
              <w:t>В 14 міських, селищних, сільських ТГ Калуського району оприлюднені на власному вебсайті  інформації відповідають нормам доступності.</w:t>
            </w:r>
          </w:p>
          <w:p w:rsidR="005D249D" w:rsidRPr="001850DE" w:rsidRDefault="005D249D" w:rsidP="005D249D">
            <w:pPr>
              <w:ind w:firstLine="279"/>
              <w:jc w:val="both"/>
            </w:pPr>
            <w:r w:rsidRPr="001850DE">
              <w:t>У 8 міських, селищних, сільських ТГ Надвірнянського району та 5 ТГ Косівського району вищевказані інформації відповідають частково нормам доступності.</w:t>
            </w:r>
          </w:p>
          <w:p w:rsidR="005D249D" w:rsidRDefault="005D249D" w:rsidP="005D249D">
            <w:pPr>
              <w:widowControl w:val="0"/>
              <w:autoSpaceDE w:val="0"/>
              <w:autoSpaceDN w:val="0"/>
              <w:adjustRightInd w:val="0"/>
              <w:ind w:firstLine="279"/>
              <w:jc w:val="both"/>
            </w:pPr>
            <w:r>
              <w:t>І</w:t>
            </w:r>
            <w:r w:rsidRPr="001850DE">
              <w:t>з 62 територіальних громад області в 43 ТГ інформації, що оприлюднюються на їх власних вебсайтах, відповідають нормам доступності для осіб з інвалідністю (зокрема для осіб з порушеннями слуху, зору та інтелектуальними порушеннями).</w:t>
            </w:r>
          </w:p>
          <w:p w:rsidR="005D249D" w:rsidRPr="00116C4C" w:rsidRDefault="005D249D" w:rsidP="005D249D">
            <w:pPr>
              <w:widowControl w:val="0"/>
              <w:autoSpaceDE w:val="0"/>
              <w:autoSpaceDN w:val="0"/>
              <w:adjustRightInd w:val="0"/>
              <w:ind w:firstLine="279"/>
              <w:jc w:val="both"/>
              <w:rPr>
                <w:szCs w:val="28"/>
              </w:rPr>
            </w:pPr>
            <w:r>
              <w:t>Окрім того, вебсайт Івано-Франківської обласної державної (військової) адміністрації знаходиться на інформаційній платформі Кабінету Міністрів України. На сьогоднішній день Міністерством цифрової трансформації України вживаються заходи щодо приведення вебсайтів органів виконавчої влади до вимог настаном з доступності вебвмісту</w:t>
            </w:r>
            <w:r w:rsidRPr="00116C4C">
              <w:t xml:space="preserve"> (</w:t>
            </w:r>
            <w:r>
              <w:rPr>
                <w:lang w:val="en-US"/>
              </w:rPr>
              <w:t>WCAG</w:t>
            </w:r>
            <w:r w:rsidRPr="00116C4C">
              <w:t>)2.1.</w:t>
            </w:r>
          </w:p>
        </w:tc>
      </w:tr>
      <w:tr w:rsidR="005D249D" w:rsidTr="00654D59">
        <w:trPr>
          <w:trHeight w:val="5640"/>
        </w:trPr>
        <w:tc>
          <w:tcPr>
            <w:tcW w:w="5762" w:type="dxa"/>
          </w:tcPr>
          <w:p w:rsidR="005D249D" w:rsidRPr="00116C4C" w:rsidRDefault="005D249D" w:rsidP="00222009">
            <w:pPr>
              <w:pStyle w:val="normal"/>
              <w:spacing w:before="60" w:line="223" w:lineRule="auto"/>
              <w:rPr>
                <w:rFonts w:ascii="Times New Roman" w:hAnsi="Times New Roman" w:cs="Times New Roman"/>
                <w:sz w:val="24"/>
                <w:szCs w:val="24"/>
                <w:lang w:val="uk-UA"/>
              </w:rPr>
            </w:pPr>
            <w:r>
              <w:rPr>
                <w:rFonts w:ascii="Times New Roman" w:hAnsi="Times New Roman" w:cs="Times New Roman"/>
                <w:sz w:val="24"/>
                <w:szCs w:val="24"/>
                <w:lang w:val="uk-UA"/>
              </w:rPr>
              <w:t>П</w:t>
            </w:r>
            <w:r w:rsidRPr="00116C4C">
              <w:rPr>
                <w:rFonts w:ascii="Times New Roman" w:hAnsi="Times New Roman" w:cs="Times New Roman"/>
                <w:sz w:val="24"/>
                <w:szCs w:val="24"/>
                <w:lang w:val="uk-UA"/>
              </w:rPr>
              <w:t xml:space="preserve">роведення інформаційної роботи щодо покращення роботи офіційних </w:t>
            </w:r>
            <w:proofErr w:type="spellStart"/>
            <w:r w:rsidRPr="00116C4C">
              <w:rPr>
                <w:rFonts w:ascii="Times New Roman" w:hAnsi="Times New Roman" w:cs="Times New Roman"/>
                <w:sz w:val="24"/>
                <w:szCs w:val="24"/>
                <w:lang w:val="uk-UA"/>
              </w:rPr>
              <w:t>веб-сайтів</w:t>
            </w:r>
            <w:proofErr w:type="spellEnd"/>
            <w:r w:rsidRPr="00116C4C">
              <w:rPr>
                <w:rFonts w:ascii="Times New Roman" w:hAnsi="Times New Roman" w:cs="Times New Roman"/>
                <w:sz w:val="24"/>
                <w:szCs w:val="24"/>
                <w:lang w:val="uk-UA"/>
              </w:rPr>
              <w:t xml:space="preserve"> органів влади для користувачів із порушенням  зору та слуху (зміна шрифту та кольорової гами тощо).</w:t>
            </w:r>
          </w:p>
        </w:tc>
        <w:tc>
          <w:tcPr>
            <w:tcW w:w="9080" w:type="dxa"/>
            <w:vMerge/>
          </w:tcPr>
          <w:p w:rsidR="005D249D" w:rsidRPr="005647E3" w:rsidRDefault="005D249D" w:rsidP="00397A24">
            <w:pPr>
              <w:ind w:firstLine="279"/>
              <w:jc w:val="both"/>
              <w:rPr>
                <w:szCs w:val="28"/>
              </w:rPr>
            </w:pPr>
          </w:p>
        </w:tc>
      </w:tr>
      <w:tr w:rsidR="005D249D" w:rsidTr="00654D59">
        <w:tc>
          <w:tcPr>
            <w:tcW w:w="5762" w:type="dxa"/>
          </w:tcPr>
          <w:p w:rsidR="005D249D" w:rsidRPr="00116C4C" w:rsidRDefault="005D249D" w:rsidP="0061565F">
            <w:pPr>
              <w:pStyle w:val="normal"/>
              <w:spacing w:before="60" w:line="223" w:lineRule="auto"/>
              <w:rPr>
                <w:rFonts w:ascii="Times New Roman" w:hAnsi="Times New Roman" w:cs="Times New Roman"/>
                <w:sz w:val="24"/>
                <w:szCs w:val="24"/>
              </w:rPr>
            </w:pPr>
            <w:r w:rsidRPr="00973E84">
              <w:rPr>
                <w:rFonts w:ascii="Times New Roman" w:hAnsi="Times New Roman" w:cs="Times New Roman"/>
                <w:sz w:val="24"/>
                <w:szCs w:val="24"/>
                <w:lang w:val="uk-UA"/>
              </w:rPr>
              <w:t>Проведення аналізу</w:t>
            </w:r>
            <w:r>
              <w:rPr>
                <w:rFonts w:ascii="Times New Roman" w:hAnsi="Times New Roman" w:cs="Times New Roman"/>
                <w:sz w:val="24"/>
                <w:szCs w:val="24"/>
                <w:lang w:val="uk-UA"/>
              </w:rPr>
              <w:t xml:space="preserve"> фактичного</w:t>
            </w:r>
            <w:r w:rsidRPr="00973E84">
              <w:rPr>
                <w:rFonts w:ascii="Times New Roman" w:hAnsi="Times New Roman" w:cs="Times New Roman"/>
                <w:sz w:val="24"/>
                <w:szCs w:val="24"/>
                <w:lang w:val="uk-UA"/>
              </w:rPr>
              <w:t xml:space="preserve"> забезпечення доступності для ос</w:t>
            </w:r>
            <w:r>
              <w:rPr>
                <w:rFonts w:ascii="Times New Roman" w:hAnsi="Times New Roman" w:cs="Times New Roman"/>
                <w:sz w:val="24"/>
                <w:szCs w:val="24"/>
                <w:lang w:val="uk-UA"/>
              </w:rPr>
              <w:t xml:space="preserve">іб з інвалідністю та інших </w:t>
            </w:r>
            <w:proofErr w:type="spellStart"/>
            <w:r>
              <w:rPr>
                <w:rFonts w:ascii="Times New Roman" w:hAnsi="Times New Roman" w:cs="Times New Roman"/>
                <w:sz w:val="24"/>
                <w:szCs w:val="24"/>
                <w:lang w:val="uk-UA"/>
              </w:rPr>
              <w:t>маломобільних</w:t>
            </w:r>
            <w:proofErr w:type="spellEnd"/>
            <w:r>
              <w:rPr>
                <w:rFonts w:ascii="Times New Roman" w:hAnsi="Times New Roman" w:cs="Times New Roman"/>
                <w:sz w:val="24"/>
                <w:szCs w:val="24"/>
                <w:lang w:val="uk-UA"/>
              </w:rPr>
              <w:t xml:space="preserve"> груп населення:</w:t>
            </w:r>
          </w:p>
          <w:p w:rsidR="005D249D" w:rsidRPr="007A7908" w:rsidRDefault="005D249D" w:rsidP="0061565F">
            <w:pPr>
              <w:pStyle w:val="normal"/>
              <w:spacing w:before="60" w:line="223" w:lineRule="auto"/>
              <w:rPr>
                <w:rFonts w:ascii="Times New Roman" w:hAnsi="Times New Roman" w:cs="Times New Roman"/>
                <w:sz w:val="24"/>
                <w:szCs w:val="24"/>
                <w:lang w:val="uk-UA"/>
              </w:rPr>
            </w:pPr>
            <w:r w:rsidRPr="00116C4C">
              <w:rPr>
                <w:rFonts w:ascii="Times New Roman" w:hAnsi="Times New Roman" w:cs="Times New Roman"/>
                <w:sz w:val="24"/>
                <w:szCs w:val="24"/>
              </w:rPr>
              <w:t xml:space="preserve">- </w:t>
            </w:r>
            <w:r>
              <w:rPr>
                <w:rFonts w:ascii="Times New Roman" w:hAnsi="Times New Roman" w:cs="Times New Roman"/>
                <w:sz w:val="24"/>
                <w:szCs w:val="24"/>
                <w:lang w:val="uk-UA"/>
              </w:rPr>
              <w:t xml:space="preserve">щодо кількості молодіжних центрів, які є доступними для </w:t>
            </w:r>
            <w:proofErr w:type="gramStart"/>
            <w:r>
              <w:rPr>
                <w:rFonts w:ascii="Times New Roman" w:hAnsi="Times New Roman" w:cs="Times New Roman"/>
                <w:sz w:val="24"/>
                <w:szCs w:val="24"/>
                <w:lang w:val="uk-UA"/>
              </w:rPr>
              <w:t>вс</w:t>
            </w:r>
            <w:proofErr w:type="gramEnd"/>
            <w:r>
              <w:rPr>
                <w:rFonts w:ascii="Times New Roman" w:hAnsi="Times New Roman" w:cs="Times New Roman"/>
                <w:sz w:val="24"/>
                <w:szCs w:val="24"/>
                <w:lang w:val="uk-UA"/>
              </w:rPr>
              <w:t>іх категорій молоді, зокрема осіб з інвалідністю;</w:t>
            </w:r>
          </w:p>
          <w:p w:rsidR="00E64A83" w:rsidRDefault="005D249D" w:rsidP="0061565F">
            <w:pPr>
              <w:pStyle w:val="normal"/>
              <w:spacing w:before="60" w:line="223"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64A83" w:rsidRDefault="00E64A83"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3E84">
              <w:rPr>
                <w:rFonts w:ascii="Times New Roman" w:hAnsi="Times New Roman" w:cs="Times New Roman"/>
                <w:sz w:val="24"/>
                <w:szCs w:val="24"/>
                <w:lang w:val="uk-UA"/>
              </w:rPr>
              <w:t>щодо наявної спортивної інфраструктури, визначення її те</w:t>
            </w:r>
            <w:r>
              <w:rPr>
                <w:rFonts w:ascii="Times New Roman" w:hAnsi="Times New Roman" w:cs="Times New Roman"/>
                <w:sz w:val="24"/>
                <w:szCs w:val="24"/>
                <w:lang w:val="uk-UA"/>
              </w:rPr>
              <w:t>хнічного стану;</w:t>
            </w:r>
          </w:p>
          <w:p w:rsidR="005D249D" w:rsidRDefault="005D249D"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p>
          <w:p w:rsidR="005D249D" w:rsidRDefault="005D249D" w:rsidP="0061565F">
            <w:pPr>
              <w:pStyle w:val="normal"/>
              <w:spacing w:before="60" w:line="223"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об’єктів туристичної сфери (готелів, музеїв, історичних </w:t>
            </w:r>
            <w:proofErr w:type="spellStart"/>
            <w:r>
              <w:rPr>
                <w:rFonts w:ascii="Times New Roman" w:hAnsi="Times New Roman" w:cs="Times New Roman"/>
                <w:sz w:val="24"/>
                <w:szCs w:val="24"/>
                <w:lang w:val="uk-UA"/>
              </w:rPr>
              <w:t>пам</w:t>
            </w:r>
            <w:proofErr w:type="spellEnd"/>
            <w:r w:rsidRPr="002875F6">
              <w:rPr>
                <w:rFonts w:ascii="Times New Roman" w:hAnsi="Times New Roman" w:cs="Times New Roman"/>
                <w:sz w:val="24"/>
                <w:szCs w:val="24"/>
              </w:rPr>
              <w:t>’</w:t>
            </w:r>
            <w:r>
              <w:rPr>
                <w:rFonts w:ascii="Times New Roman" w:hAnsi="Times New Roman" w:cs="Times New Roman"/>
                <w:sz w:val="24"/>
                <w:szCs w:val="24"/>
                <w:lang w:val="uk-UA"/>
              </w:rPr>
              <w:t>яток тощо).</w:t>
            </w:r>
          </w:p>
          <w:p w:rsidR="005D249D" w:rsidRDefault="005D249D" w:rsidP="00222009">
            <w:pPr>
              <w:pStyle w:val="normal"/>
              <w:spacing w:before="60" w:line="223" w:lineRule="auto"/>
              <w:rPr>
                <w:rFonts w:ascii="Times New Roman" w:hAnsi="Times New Roman" w:cs="Times New Roman"/>
                <w:sz w:val="24"/>
                <w:szCs w:val="24"/>
                <w:lang w:val="uk-UA"/>
              </w:rPr>
            </w:pPr>
          </w:p>
          <w:p w:rsidR="005D249D" w:rsidRDefault="005D249D" w:rsidP="00222009">
            <w:pPr>
              <w:pStyle w:val="normal"/>
              <w:spacing w:before="60" w:line="223" w:lineRule="auto"/>
              <w:rPr>
                <w:rFonts w:ascii="Times New Roman" w:hAnsi="Times New Roman" w:cs="Times New Roman"/>
                <w:sz w:val="24"/>
                <w:szCs w:val="24"/>
                <w:lang w:val="uk-UA"/>
              </w:rPr>
            </w:pPr>
          </w:p>
          <w:p w:rsidR="005D249D" w:rsidRDefault="005D249D" w:rsidP="00222009">
            <w:pPr>
              <w:pStyle w:val="normal"/>
              <w:spacing w:before="60" w:line="223" w:lineRule="auto"/>
              <w:rPr>
                <w:rFonts w:ascii="Times New Roman" w:hAnsi="Times New Roman" w:cs="Times New Roman"/>
                <w:sz w:val="24"/>
                <w:szCs w:val="24"/>
                <w:lang w:val="uk-UA"/>
              </w:rPr>
            </w:pPr>
          </w:p>
          <w:p w:rsidR="005D249D" w:rsidRDefault="005D249D" w:rsidP="00222009">
            <w:pPr>
              <w:pStyle w:val="normal"/>
              <w:spacing w:before="60" w:line="223" w:lineRule="auto"/>
              <w:rPr>
                <w:rFonts w:ascii="Times New Roman" w:hAnsi="Times New Roman" w:cs="Times New Roman"/>
                <w:sz w:val="24"/>
                <w:szCs w:val="24"/>
                <w:lang w:val="uk-UA"/>
              </w:rPr>
            </w:pPr>
          </w:p>
          <w:p w:rsidR="005D249D" w:rsidRPr="00654D59" w:rsidRDefault="005D249D" w:rsidP="00222009">
            <w:pPr>
              <w:pStyle w:val="normal"/>
              <w:spacing w:before="60" w:line="223" w:lineRule="auto"/>
              <w:rPr>
                <w:rFonts w:ascii="Times New Roman" w:hAnsi="Times New Roman" w:cs="Times New Roman"/>
                <w:sz w:val="24"/>
                <w:szCs w:val="24"/>
                <w:lang w:val="uk-UA"/>
              </w:rPr>
            </w:pPr>
          </w:p>
        </w:tc>
        <w:tc>
          <w:tcPr>
            <w:tcW w:w="9080" w:type="dxa"/>
          </w:tcPr>
          <w:p w:rsidR="005D249D" w:rsidRDefault="005D249D" w:rsidP="00397A24">
            <w:pPr>
              <w:autoSpaceDE w:val="0"/>
              <w:autoSpaceDN w:val="0"/>
              <w:adjustRightInd w:val="0"/>
              <w:ind w:firstLine="279"/>
              <w:jc w:val="both"/>
            </w:pPr>
            <w:r>
              <w:lastRenderedPageBreak/>
              <w:t>В</w:t>
            </w:r>
            <w:r w:rsidRPr="00397A24">
              <w:t xml:space="preserve"> </w:t>
            </w:r>
            <w:r>
              <w:t>області працюють 6 молодіжних центрів, які є доступними для всіх категорій молоді.</w:t>
            </w:r>
          </w:p>
          <w:p w:rsidR="005D249D" w:rsidRPr="00116C4C" w:rsidRDefault="005D249D" w:rsidP="00397A24">
            <w:pPr>
              <w:autoSpaceDE w:val="0"/>
              <w:autoSpaceDN w:val="0"/>
              <w:adjustRightInd w:val="0"/>
              <w:ind w:firstLine="279"/>
              <w:jc w:val="both"/>
              <w:rPr>
                <w:noProof w:val="0"/>
              </w:rPr>
            </w:pPr>
            <w:r>
              <w:t xml:space="preserve">Спортивну роботу серед зазначеної категорії громадян здійснює Івано-Франківський регіональний центр з фізичної культури та спорту осіб з інвалідністю «Інваспорт» та дитячо-юнацька спортивна школа осіб з інвалідністю. Діяльність даних організацій базується на співпраці з спеціальними інтернатними закладами області. Працюють 8 відділень з різних видів спорту. Для занять фізичною культурою </w:t>
            </w:r>
            <w:r>
              <w:lastRenderedPageBreak/>
              <w:t>у місцях масового відпочинку в Івано-Франківській області облаштовано та функціонує 17 активних парків, де працюють 17 координарів. Впродовж 11 місяців 2024 року на зазначених локаціях в області проведено  2159 спортивно-оздоровчих заходів. Всі спортивні споруди на території Івано-Франківської області забезпечені безперешкодним доступом для осіб з інвалідністю та інших маломобільних груп населення.</w:t>
            </w:r>
          </w:p>
          <w:p w:rsidR="005D249D" w:rsidRDefault="005D249D" w:rsidP="00D80894">
            <w:pPr>
              <w:autoSpaceDE w:val="0"/>
              <w:autoSpaceDN w:val="0"/>
              <w:adjustRightInd w:val="0"/>
              <w:ind w:firstLine="279"/>
              <w:jc w:val="both"/>
              <w:rPr>
                <w:noProof w:val="0"/>
                <w:lang w:val="ru-RU"/>
              </w:rPr>
            </w:pPr>
            <w:r w:rsidRPr="00116C4C">
              <w:rPr>
                <w:noProof w:val="0"/>
              </w:rPr>
              <w:t xml:space="preserve">Упродовж звітного періоду департаментом міжнародного співробітництва та євроінтеграції спільно з представником Урядового уповноваженого з прав осіб з інвалідністю в Івано-Франківській облдержадміністрації </w:t>
            </w:r>
            <w:r w:rsidR="00120F42">
              <w:rPr>
                <w:noProof w:val="0"/>
              </w:rPr>
              <w:t>Миколою Макаром</w:t>
            </w:r>
            <w:r w:rsidR="004A7F8E">
              <w:rPr>
                <w:noProof w:val="0"/>
              </w:rPr>
              <w:t xml:space="preserve"> </w:t>
            </w:r>
            <w:r w:rsidRPr="00116C4C">
              <w:rPr>
                <w:noProof w:val="0"/>
              </w:rPr>
              <w:t xml:space="preserve">було проведено моніторинг стану фізичної доступності об'єктів туристичної інфраструктури у </w:t>
            </w:r>
            <w:proofErr w:type="spellStart"/>
            <w:r w:rsidRPr="00116C4C">
              <w:rPr>
                <w:noProof w:val="0"/>
              </w:rPr>
              <w:t>Більшівцівській</w:t>
            </w:r>
            <w:proofErr w:type="spellEnd"/>
            <w:r w:rsidRPr="00116C4C">
              <w:rPr>
                <w:noProof w:val="0"/>
              </w:rPr>
              <w:t xml:space="preserve"> (10 об'єктів), </w:t>
            </w:r>
            <w:proofErr w:type="spellStart"/>
            <w:r w:rsidRPr="00116C4C">
              <w:rPr>
                <w:noProof w:val="0"/>
              </w:rPr>
              <w:t>Букачівській</w:t>
            </w:r>
            <w:proofErr w:type="spellEnd"/>
            <w:r w:rsidRPr="00116C4C">
              <w:rPr>
                <w:noProof w:val="0"/>
              </w:rPr>
              <w:t xml:space="preserve"> (10 об'єктів), </w:t>
            </w:r>
            <w:proofErr w:type="spellStart"/>
            <w:r w:rsidRPr="00116C4C">
              <w:rPr>
                <w:noProof w:val="0"/>
              </w:rPr>
              <w:t>Бурштинській</w:t>
            </w:r>
            <w:proofErr w:type="spellEnd"/>
            <w:r w:rsidRPr="00116C4C">
              <w:rPr>
                <w:noProof w:val="0"/>
              </w:rPr>
              <w:t xml:space="preserve"> (20 об'єктів), Галицькій (20 об'єктів), </w:t>
            </w:r>
            <w:proofErr w:type="spellStart"/>
            <w:r w:rsidRPr="00116C4C">
              <w:rPr>
                <w:noProof w:val="0"/>
              </w:rPr>
              <w:t>Дубовецькій</w:t>
            </w:r>
            <w:proofErr w:type="spellEnd"/>
            <w:r w:rsidRPr="00116C4C">
              <w:rPr>
                <w:noProof w:val="0"/>
              </w:rPr>
              <w:t xml:space="preserve"> (10 об'єктів) </w:t>
            </w:r>
            <w:proofErr w:type="spellStart"/>
            <w:r w:rsidRPr="00116C4C">
              <w:rPr>
                <w:noProof w:val="0"/>
              </w:rPr>
              <w:t>Єзупільській</w:t>
            </w:r>
            <w:proofErr w:type="spellEnd"/>
            <w:r w:rsidRPr="00116C4C">
              <w:rPr>
                <w:noProof w:val="0"/>
              </w:rPr>
              <w:t xml:space="preserve"> (10 об'єктів), </w:t>
            </w:r>
            <w:proofErr w:type="spellStart"/>
            <w:r w:rsidRPr="00116C4C">
              <w:rPr>
                <w:noProof w:val="0"/>
              </w:rPr>
              <w:t>Рогатинській</w:t>
            </w:r>
            <w:proofErr w:type="spellEnd"/>
            <w:r w:rsidRPr="00116C4C">
              <w:rPr>
                <w:noProof w:val="0"/>
              </w:rPr>
              <w:t xml:space="preserve"> (20 об'єктів) територіальних громадах. </w:t>
            </w:r>
            <w:r>
              <w:rPr>
                <w:noProof w:val="0"/>
                <w:lang w:val="ru-RU"/>
              </w:rPr>
              <w:t xml:space="preserve">За результатами </w:t>
            </w:r>
            <w:proofErr w:type="spellStart"/>
            <w:r>
              <w:rPr>
                <w:noProof w:val="0"/>
                <w:lang w:val="ru-RU"/>
              </w:rPr>
              <w:t>проведених</w:t>
            </w:r>
            <w:proofErr w:type="spellEnd"/>
            <w:r>
              <w:rPr>
                <w:noProof w:val="0"/>
                <w:lang w:val="ru-RU"/>
              </w:rPr>
              <w:t xml:space="preserve"> </w:t>
            </w:r>
            <w:proofErr w:type="spellStart"/>
            <w:r>
              <w:rPr>
                <w:noProof w:val="0"/>
                <w:lang w:val="ru-RU"/>
              </w:rPr>
              <w:t>робочих</w:t>
            </w:r>
            <w:proofErr w:type="spellEnd"/>
            <w:r>
              <w:rPr>
                <w:noProof w:val="0"/>
                <w:lang w:val="ru-RU"/>
              </w:rPr>
              <w:t xml:space="preserve"> </w:t>
            </w:r>
            <w:proofErr w:type="spellStart"/>
            <w:r>
              <w:rPr>
                <w:noProof w:val="0"/>
                <w:lang w:val="ru-RU"/>
              </w:rPr>
              <w:t>поїздок</w:t>
            </w:r>
            <w:proofErr w:type="spellEnd"/>
            <w:r>
              <w:rPr>
                <w:noProof w:val="0"/>
                <w:lang w:val="ru-RU"/>
              </w:rPr>
              <w:t xml:space="preserve"> головам </w:t>
            </w:r>
            <w:proofErr w:type="spellStart"/>
            <w:r>
              <w:rPr>
                <w:noProof w:val="0"/>
                <w:lang w:val="ru-RU"/>
              </w:rPr>
              <w:t>територіальних</w:t>
            </w:r>
            <w:proofErr w:type="spellEnd"/>
            <w:r>
              <w:rPr>
                <w:noProof w:val="0"/>
                <w:lang w:val="ru-RU"/>
              </w:rPr>
              <w:t xml:space="preserve"> громад, </w:t>
            </w:r>
            <w:proofErr w:type="spellStart"/>
            <w:r>
              <w:rPr>
                <w:noProof w:val="0"/>
                <w:lang w:val="ru-RU"/>
              </w:rPr>
              <w:t>керівництву</w:t>
            </w:r>
            <w:proofErr w:type="spellEnd"/>
            <w:r>
              <w:rPr>
                <w:noProof w:val="0"/>
                <w:lang w:val="ru-RU"/>
              </w:rPr>
              <w:t xml:space="preserve"> НЗ «</w:t>
            </w:r>
            <w:proofErr w:type="spellStart"/>
            <w:r>
              <w:rPr>
                <w:noProof w:val="0"/>
                <w:lang w:val="ru-RU"/>
              </w:rPr>
              <w:t>Давній</w:t>
            </w:r>
            <w:proofErr w:type="spellEnd"/>
            <w:r>
              <w:rPr>
                <w:noProof w:val="0"/>
                <w:lang w:val="ru-RU"/>
              </w:rPr>
              <w:t xml:space="preserve"> Галич» </w:t>
            </w:r>
            <w:proofErr w:type="spellStart"/>
            <w:r>
              <w:rPr>
                <w:noProof w:val="0"/>
                <w:lang w:val="ru-RU"/>
              </w:rPr>
              <w:t>було</w:t>
            </w:r>
            <w:proofErr w:type="spellEnd"/>
            <w:r>
              <w:rPr>
                <w:noProof w:val="0"/>
                <w:lang w:val="ru-RU"/>
              </w:rPr>
              <w:t xml:space="preserve"> </w:t>
            </w:r>
            <w:proofErr w:type="spellStart"/>
            <w:proofErr w:type="gramStart"/>
            <w:r>
              <w:rPr>
                <w:noProof w:val="0"/>
                <w:lang w:val="ru-RU"/>
              </w:rPr>
              <w:t>п</w:t>
            </w:r>
            <w:proofErr w:type="gramEnd"/>
            <w:r>
              <w:rPr>
                <w:noProof w:val="0"/>
                <w:lang w:val="ru-RU"/>
              </w:rPr>
              <w:t>ідготовлено</w:t>
            </w:r>
            <w:proofErr w:type="spellEnd"/>
            <w:r>
              <w:rPr>
                <w:noProof w:val="0"/>
                <w:lang w:val="ru-RU"/>
              </w:rPr>
              <w:t xml:space="preserve"> та </w:t>
            </w:r>
            <w:proofErr w:type="spellStart"/>
            <w:r>
              <w:rPr>
                <w:noProof w:val="0"/>
                <w:lang w:val="ru-RU"/>
              </w:rPr>
              <w:t>надіслано</w:t>
            </w:r>
            <w:proofErr w:type="spellEnd"/>
            <w:r>
              <w:rPr>
                <w:noProof w:val="0"/>
                <w:lang w:val="ru-RU"/>
              </w:rPr>
              <w:t xml:space="preserve"> </w:t>
            </w:r>
            <w:proofErr w:type="spellStart"/>
            <w:r>
              <w:rPr>
                <w:noProof w:val="0"/>
                <w:lang w:val="ru-RU"/>
              </w:rPr>
              <w:t>письмові</w:t>
            </w:r>
            <w:proofErr w:type="spellEnd"/>
            <w:r>
              <w:rPr>
                <w:noProof w:val="0"/>
                <w:lang w:val="ru-RU"/>
              </w:rPr>
              <w:t xml:space="preserve"> </w:t>
            </w:r>
            <w:proofErr w:type="spellStart"/>
            <w:r>
              <w:rPr>
                <w:noProof w:val="0"/>
                <w:lang w:val="ru-RU"/>
              </w:rPr>
              <w:t>рекомендації</w:t>
            </w:r>
            <w:proofErr w:type="spellEnd"/>
            <w:r>
              <w:rPr>
                <w:noProof w:val="0"/>
                <w:lang w:val="ru-RU"/>
              </w:rPr>
              <w:t xml:space="preserve"> </w:t>
            </w:r>
            <w:proofErr w:type="spellStart"/>
            <w:r>
              <w:rPr>
                <w:noProof w:val="0"/>
                <w:lang w:val="ru-RU"/>
              </w:rPr>
              <w:t>щодо</w:t>
            </w:r>
            <w:proofErr w:type="spellEnd"/>
            <w:r>
              <w:rPr>
                <w:noProof w:val="0"/>
                <w:lang w:val="ru-RU"/>
              </w:rPr>
              <w:t xml:space="preserve"> </w:t>
            </w:r>
            <w:proofErr w:type="spellStart"/>
            <w:r>
              <w:rPr>
                <w:noProof w:val="0"/>
                <w:lang w:val="ru-RU"/>
              </w:rPr>
              <w:t>інфраструктурного</w:t>
            </w:r>
            <w:proofErr w:type="spellEnd"/>
            <w:r>
              <w:rPr>
                <w:noProof w:val="0"/>
                <w:lang w:val="ru-RU"/>
              </w:rPr>
              <w:t xml:space="preserve"> </w:t>
            </w:r>
            <w:proofErr w:type="spellStart"/>
            <w:r>
              <w:rPr>
                <w:noProof w:val="0"/>
                <w:lang w:val="ru-RU"/>
              </w:rPr>
              <w:t>покращення</w:t>
            </w:r>
            <w:proofErr w:type="spellEnd"/>
            <w:r>
              <w:rPr>
                <w:noProof w:val="0"/>
                <w:lang w:val="ru-RU"/>
              </w:rPr>
              <w:t xml:space="preserve"> </w:t>
            </w:r>
            <w:proofErr w:type="spellStart"/>
            <w:r>
              <w:rPr>
                <w:noProof w:val="0"/>
                <w:lang w:val="ru-RU"/>
              </w:rPr>
              <w:t>доступності</w:t>
            </w:r>
            <w:proofErr w:type="spellEnd"/>
            <w:r>
              <w:rPr>
                <w:noProof w:val="0"/>
                <w:lang w:val="ru-RU"/>
              </w:rPr>
              <w:t xml:space="preserve"> </w:t>
            </w:r>
            <w:proofErr w:type="spellStart"/>
            <w:r>
              <w:rPr>
                <w:noProof w:val="0"/>
                <w:lang w:val="ru-RU"/>
              </w:rPr>
              <w:t>туристичних</w:t>
            </w:r>
            <w:proofErr w:type="spellEnd"/>
            <w:r>
              <w:rPr>
                <w:noProof w:val="0"/>
                <w:lang w:val="ru-RU"/>
              </w:rPr>
              <w:t xml:space="preserve"> </w:t>
            </w:r>
            <w:proofErr w:type="spellStart"/>
            <w:r>
              <w:rPr>
                <w:noProof w:val="0"/>
                <w:lang w:val="ru-RU"/>
              </w:rPr>
              <w:t>об</w:t>
            </w:r>
            <w:r w:rsidRPr="00116C4C">
              <w:rPr>
                <w:noProof w:val="0"/>
                <w:lang w:val="ru-RU"/>
              </w:rPr>
              <w:t>’</w:t>
            </w:r>
            <w:r>
              <w:rPr>
                <w:noProof w:val="0"/>
                <w:lang w:val="ru-RU"/>
              </w:rPr>
              <w:t>єктів</w:t>
            </w:r>
            <w:proofErr w:type="spellEnd"/>
            <w:r>
              <w:rPr>
                <w:noProof w:val="0"/>
                <w:lang w:val="ru-RU"/>
              </w:rPr>
              <w:t xml:space="preserve"> для </w:t>
            </w:r>
            <w:proofErr w:type="spellStart"/>
            <w:r>
              <w:rPr>
                <w:noProof w:val="0"/>
                <w:lang w:val="ru-RU"/>
              </w:rPr>
              <w:t>маломобільних</w:t>
            </w:r>
            <w:proofErr w:type="spellEnd"/>
            <w:r>
              <w:rPr>
                <w:noProof w:val="0"/>
                <w:lang w:val="ru-RU"/>
              </w:rPr>
              <w:t xml:space="preserve"> </w:t>
            </w:r>
            <w:proofErr w:type="spellStart"/>
            <w:r>
              <w:rPr>
                <w:noProof w:val="0"/>
                <w:lang w:val="ru-RU"/>
              </w:rPr>
              <w:t>груп</w:t>
            </w:r>
            <w:proofErr w:type="spellEnd"/>
            <w:r>
              <w:rPr>
                <w:noProof w:val="0"/>
                <w:lang w:val="ru-RU"/>
              </w:rPr>
              <w:t xml:space="preserve"> </w:t>
            </w:r>
            <w:proofErr w:type="spellStart"/>
            <w:r>
              <w:rPr>
                <w:noProof w:val="0"/>
                <w:lang w:val="ru-RU"/>
              </w:rPr>
              <w:t>населенн</w:t>
            </w:r>
            <w:proofErr w:type="spellEnd"/>
            <w:r>
              <w:rPr>
                <w:noProof w:val="0"/>
              </w:rPr>
              <w:t>я</w:t>
            </w:r>
            <w:r w:rsidR="00CB1C1F">
              <w:rPr>
                <w:noProof w:val="0"/>
                <w:lang w:val="ru-RU"/>
              </w:rPr>
              <w:t xml:space="preserve">. За </w:t>
            </w:r>
            <w:proofErr w:type="spellStart"/>
            <w:proofErr w:type="gramStart"/>
            <w:r w:rsidR="00CB1C1F">
              <w:rPr>
                <w:noProof w:val="0"/>
                <w:lang w:val="ru-RU"/>
              </w:rPr>
              <w:t>п</w:t>
            </w:r>
            <w:proofErr w:type="gramEnd"/>
            <w:r w:rsidR="00CB1C1F">
              <w:rPr>
                <w:noProof w:val="0"/>
                <w:lang w:val="ru-RU"/>
              </w:rPr>
              <w:t>ідсумками</w:t>
            </w:r>
            <w:proofErr w:type="spellEnd"/>
            <w:r w:rsidR="00CB1C1F">
              <w:rPr>
                <w:noProof w:val="0"/>
                <w:lang w:val="ru-RU"/>
              </w:rPr>
              <w:t xml:space="preserve"> </w:t>
            </w:r>
            <w:proofErr w:type="spellStart"/>
            <w:r w:rsidR="00CB1C1F">
              <w:rPr>
                <w:noProof w:val="0"/>
                <w:lang w:val="ru-RU"/>
              </w:rPr>
              <w:t>проведен</w:t>
            </w:r>
            <w:r>
              <w:rPr>
                <w:noProof w:val="0"/>
                <w:lang w:val="ru-RU"/>
              </w:rPr>
              <w:t>ого</w:t>
            </w:r>
            <w:proofErr w:type="spellEnd"/>
            <w:r>
              <w:rPr>
                <w:noProof w:val="0"/>
                <w:lang w:val="ru-RU"/>
              </w:rPr>
              <w:t xml:space="preserve"> </w:t>
            </w:r>
            <w:proofErr w:type="spellStart"/>
            <w:r>
              <w:rPr>
                <w:noProof w:val="0"/>
                <w:lang w:val="ru-RU"/>
              </w:rPr>
              <w:t>моніторингу</w:t>
            </w:r>
            <w:proofErr w:type="spellEnd"/>
            <w:r>
              <w:rPr>
                <w:noProof w:val="0"/>
                <w:lang w:val="ru-RU"/>
              </w:rPr>
              <w:t xml:space="preserve"> </w:t>
            </w:r>
            <w:proofErr w:type="spellStart"/>
            <w:r>
              <w:rPr>
                <w:noProof w:val="0"/>
                <w:lang w:val="ru-RU"/>
              </w:rPr>
              <w:t>д</w:t>
            </w:r>
            <w:r w:rsidRPr="001A587B">
              <w:rPr>
                <w:noProof w:val="0"/>
                <w:lang w:val="ru-RU"/>
              </w:rPr>
              <w:t>оступними</w:t>
            </w:r>
            <w:proofErr w:type="spellEnd"/>
            <w:r w:rsidRPr="001A587B">
              <w:rPr>
                <w:noProof w:val="0"/>
                <w:lang w:val="ru-RU"/>
              </w:rPr>
              <w:t xml:space="preserve"> </w:t>
            </w:r>
            <w:proofErr w:type="spellStart"/>
            <w:r w:rsidRPr="001A587B">
              <w:rPr>
                <w:noProof w:val="0"/>
                <w:lang w:val="ru-RU"/>
              </w:rPr>
              <w:t>і</w:t>
            </w:r>
            <w:proofErr w:type="spellEnd"/>
            <w:r w:rsidRPr="001A587B">
              <w:rPr>
                <w:noProof w:val="0"/>
                <w:lang w:val="ru-RU"/>
              </w:rPr>
              <w:t xml:space="preserve"> </w:t>
            </w:r>
            <w:proofErr w:type="spellStart"/>
            <w:r w:rsidRPr="001A587B">
              <w:rPr>
                <w:noProof w:val="0"/>
                <w:lang w:val="ru-RU"/>
              </w:rPr>
              <w:t>безбар'єрними</w:t>
            </w:r>
            <w:proofErr w:type="spellEnd"/>
            <w:r w:rsidRPr="001A587B">
              <w:rPr>
                <w:noProof w:val="0"/>
                <w:lang w:val="ru-RU"/>
              </w:rPr>
              <w:t xml:space="preserve"> в </w:t>
            </w:r>
            <w:proofErr w:type="spellStart"/>
            <w:r w:rsidRPr="001A587B">
              <w:rPr>
                <w:noProof w:val="0"/>
                <w:lang w:val="ru-RU"/>
              </w:rPr>
              <w:t>Івано-Франківському</w:t>
            </w:r>
            <w:proofErr w:type="spellEnd"/>
            <w:r w:rsidRPr="001A587B">
              <w:rPr>
                <w:noProof w:val="0"/>
                <w:lang w:val="ru-RU"/>
              </w:rPr>
              <w:t xml:space="preserve"> </w:t>
            </w:r>
            <w:proofErr w:type="spellStart"/>
            <w:r w:rsidRPr="001A587B">
              <w:rPr>
                <w:noProof w:val="0"/>
                <w:lang w:val="ru-RU"/>
              </w:rPr>
              <w:t>районі</w:t>
            </w:r>
            <w:proofErr w:type="spellEnd"/>
            <w:r w:rsidRPr="001A587B">
              <w:rPr>
                <w:noProof w:val="0"/>
                <w:lang w:val="ru-RU"/>
              </w:rPr>
              <w:t xml:space="preserve"> </w:t>
            </w:r>
            <w:proofErr w:type="spellStart"/>
            <w:r w:rsidRPr="001A587B">
              <w:rPr>
                <w:noProof w:val="0"/>
                <w:lang w:val="ru-RU"/>
              </w:rPr>
              <w:t>визначені</w:t>
            </w:r>
            <w:proofErr w:type="spellEnd"/>
            <w:r>
              <w:rPr>
                <w:noProof w:val="0"/>
                <w:lang w:val="ru-RU"/>
              </w:rPr>
              <w:t xml:space="preserve"> </w:t>
            </w:r>
            <w:proofErr w:type="spellStart"/>
            <w:r w:rsidRPr="001A587B">
              <w:rPr>
                <w:noProof w:val="0"/>
                <w:lang w:val="ru-RU"/>
              </w:rPr>
              <w:t>такі</w:t>
            </w:r>
            <w:proofErr w:type="spellEnd"/>
            <w:r w:rsidRPr="001A587B">
              <w:rPr>
                <w:noProof w:val="0"/>
                <w:lang w:val="ru-RU"/>
              </w:rPr>
              <w:t xml:space="preserve"> </w:t>
            </w:r>
            <w:proofErr w:type="spellStart"/>
            <w:r w:rsidRPr="001A587B">
              <w:rPr>
                <w:noProof w:val="0"/>
                <w:lang w:val="ru-RU"/>
              </w:rPr>
              <w:t>туристичні</w:t>
            </w:r>
            <w:proofErr w:type="spellEnd"/>
            <w:r w:rsidRPr="001A587B">
              <w:rPr>
                <w:noProof w:val="0"/>
                <w:lang w:val="ru-RU"/>
              </w:rPr>
              <w:t xml:space="preserve"> </w:t>
            </w:r>
            <w:proofErr w:type="spellStart"/>
            <w:r w:rsidRPr="001A587B">
              <w:rPr>
                <w:noProof w:val="0"/>
                <w:lang w:val="ru-RU"/>
              </w:rPr>
              <w:t>місця</w:t>
            </w:r>
            <w:proofErr w:type="spellEnd"/>
            <w:r w:rsidRPr="001A587B">
              <w:rPr>
                <w:noProof w:val="0"/>
                <w:lang w:val="ru-RU"/>
              </w:rPr>
              <w:t>:</w:t>
            </w:r>
          </w:p>
          <w:p w:rsidR="005D249D" w:rsidRDefault="005D249D" w:rsidP="00D80894">
            <w:pPr>
              <w:autoSpaceDE w:val="0"/>
              <w:autoSpaceDN w:val="0"/>
              <w:adjustRightInd w:val="0"/>
              <w:ind w:firstLine="279"/>
              <w:jc w:val="both"/>
              <w:rPr>
                <w:noProof w:val="0"/>
                <w:lang w:val="ru-RU"/>
              </w:rPr>
            </w:pPr>
            <w:proofErr w:type="gramStart"/>
            <w:r>
              <w:rPr>
                <w:noProof w:val="0"/>
                <w:lang w:val="ru-RU"/>
              </w:rPr>
              <w:t xml:space="preserve">- </w:t>
            </w:r>
            <w:r w:rsidRPr="001A587B">
              <w:rPr>
                <w:noProof w:val="0"/>
                <w:lang w:val="ru-RU"/>
              </w:rPr>
              <w:t xml:space="preserve"> </w:t>
            </w:r>
            <w:proofErr w:type="spellStart"/>
            <w:r w:rsidRPr="001A587B">
              <w:rPr>
                <w:noProof w:val="0"/>
                <w:lang w:val="ru-RU"/>
              </w:rPr>
              <w:t>краєзнавчий</w:t>
            </w:r>
            <w:proofErr w:type="spellEnd"/>
            <w:r w:rsidRPr="001A587B">
              <w:rPr>
                <w:noProof w:val="0"/>
                <w:lang w:val="ru-RU"/>
              </w:rPr>
              <w:t xml:space="preserve"> музей (</w:t>
            </w:r>
            <w:proofErr w:type="spellStart"/>
            <w:r w:rsidRPr="001A587B">
              <w:rPr>
                <w:noProof w:val="0"/>
                <w:lang w:val="ru-RU"/>
              </w:rPr>
              <w:t>с-ще</w:t>
            </w:r>
            <w:proofErr w:type="spellEnd"/>
            <w:r w:rsidRPr="001A587B">
              <w:rPr>
                <w:noProof w:val="0"/>
                <w:lang w:val="ru-RU"/>
              </w:rPr>
              <w:t xml:space="preserve"> </w:t>
            </w:r>
            <w:proofErr w:type="spellStart"/>
            <w:r w:rsidRPr="001A587B">
              <w:rPr>
                <w:noProof w:val="0"/>
                <w:lang w:val="ru-RU"/>
              </w:rPr>
              <w:t>Єзупіль</w:t>
            </w:r>
            <w:proofErr w:type="spellEnd"/>
            <w:r w:rsidRPr="001A587B">
              <w:rPr>
                <w:noProof w:val="0"/>
                <w:lang w:val="ru-RU"/>
              </w:rPr>
              <w:t xml:space="preserve">), </w:t>
            </w:r>
            <w:proofErr w:type="spellStart"/>
            <w:r w:rsidRPr="001A587B">
              <w:rPr>
                <w:noProof w:val="0"/>
                <w:lang w:val="ru-RU"/>
              </w:rPr>
              <w:t>церква</w:t>
            </w:r>
            <w:proofErr w:type="spellEnd"/>
            <w:r>
              <w:rPr>
                <w:noProof w:val="0"/>
                <w:lang w:val="ru-RU"/>
              </w:rPr>
              <w:t xml:space="preserve"> </w:t>
            </w:r>
            <w:r w:rsidRPr="001A587B">
              <w:rPr>
                <w:noProof w:val="0"/>
                <w:lang w:val="ru-RU"/>
              </w:rPr>
              <w:t xml:space="preserve">святого </w:t>
            </w:r>
            <w:proofErr w:type="spellStart"/>
            <w:r w:rsidRPr="001A587B">
              <w:rPr>
                <w:noProof w:val="0"/>
                <w:lang w:val="ru-RU"/>
              </w:rPr>
              <w:t>Миколая</w:t>
            </w:r>
            <w:proofErr w:type="spellEnd"/>
            <w:r w:rsidRPr="001A587B">
              <w:rPr>
                <w:noProof w:val="0"/>
                <w:lang w:val="ru-RU"/>
              </w:rPr>
              <w:t xml:space="preserve"> (</w:t>
            </w:r>
            <w:proofErr w:type="spellStart"/>
            <w:r w:rsidRPr="001A587B">
              <w:rPr>
                <w:noProof w:val="0"/>
                <w:lang w:val="ru-RU"/>
              </w:rPr>
              <w:t>с-ще</w:t>
            </w:r>
            <w:proofErr w:type="spellEnd"/>
            <w:r w:rsidRPr="001A587B">
              <w:rPr>
                <w:noProof w:val="0"/>
                <w:lang w:val="ru-RU"/>
              </w:rPr>
              <w:t xml:space="preserve"> </w:t>
            </w:r>
            <w:proofErr w:type="spellStart"/>
            <w:r w:rsidRPr="001A587B">
              <w:rPr>
                <w:noProof w:val="0"/>
                <w:lang w:val="ru-RU"/>
              </w:rPr>
              <w:t>Єзупіль</w:t>
            </w:r>
            <w:proofErr w:type="spellEnd"/>
            <w:r w:rsidRPr="001A587B">
              <w:rPr>
                <w:noProof w:val="0"/>
                <w:lang w:val="ru-RU"/>
              </w:rPr>
              <w:t xml:space="preserve">), </w:t>
            </w:r>
            <w:proofErr w:type="spellStart"/>
            <w:r w:rsidRPr="001A587B">
              <w:rPr>
                <w:noProof w:val="0"/>
                <w:lang w:val="ru-RU"/>
              </w:rPr>
              <w:t>краєзнавчий</w:t>
            </w:r>
            <w:proofErr w:type="spellEnd"/>
            <w:r w:rsidRPr="001A587B">
              <w:rPr>
                <w:noProof w:val="0"/>
                <w:lang w:val="ru-RU"/>
              </w:rPr>
              <w:t xml:space="preserve"> музей (с. </w:t>
            </w:r>
            <w:proofErr w:type="spellStart"/>
            <w:r w:rsidRPr="001A587B">
              <w:rPr>
                <w:noProof w:val="0"/>
                <w:lang w:val="ru-RU"/>
              </w:rPr>
              <w:t>Побережжя</w:t>
            </w:r>
            <w:proofErr w:type="spellEnd"/>
            <w:r w:rsidRPr="001A587B">
              <w:rPr>
                <w:noProof w:val="0"/>
                <w:lang w:val="ru-RU"/>
              </w:rPr>
              <w:t>),</w:t>
            </w:r>
            <w:r>
              <w:rPr>
                <w:noProof w:val="0"/>
                <w:lang w:val="ru-RU"/>
              </w:rPr>
              <w:t xml:space="preserve"> </w:t>
            </w:r>
            <w:proofErr w:type="spellStart"/>
            <w:r w:rsidRPr="001A587B">
              <w:rPr>
                <w:noProof w:val="0"/>
                <w:lang w:val="ru-RU"/>
              </w:rPr>
              <w:t>паломницький</w:t>
            </w:r>
            <w:proofErr w:type="spellEnd"/>
            <w:r w:rsidRPr="001A587B">
              <w:rPr>
                <w:noProof w:val="0"/>
                <w:lang w:val="ru-RU"/>
              </w:rPr>
              <w:t xml:space="preserve"> центр «Духова </w:t>
            </w:r>
            <w:proofErr w:type="spellStart"/>
            <w:r w:rsidRPr="001A587B">
              <w:rPr>
                <w:noProof w:val="0"/>
                <w:lang w:val="ru-RU"/>
              </w:rPr>
              <w:t>криниця</w:t>
            </w:r>
            <w:proofErr w:type="spellEnd"/>
            <w:r w:rsidRPr="001A587B">
              <w:rPr>
                <w:noProof w:val="0"/>
                <w:lang w:val="ru-RU"/>
              </w:rPr>
              <w:t>» (</w:t>
            </w:r>
            <w:proofErr w:type="spellStart"/>
            <w:r w:rsidRPr="001A587B">
              <w:rPr>
                <w:noProof w:val="0"/>
                <w:lang w:val="ru-RU"/>
              </w:rPr>
              <w:t>біля</w:t>
            </w:r>
            <w:proofErr w:type="spellEnd"/>
            <w:r w:rsidRPr="001A587B">
              <w:rPr>
                <w:noProof w:val="0"/>
                <w:lang w:val="ru-RU"/>
              </w:rPr>
              <w:t xml:space="preserve"> </w:t>
            </w:r>
            <w:r w:rsidR="00B812C4">
              <w:rPr>
                <w:noProof w:val="0"/>
                <w:lang w:val="ru-RU"/>
              </w:rPr>
              <w:br/>
            </w:r>
            <w:proofErr w:type="spellStart"/>
            <w:r w:rsidRPr="001A587B">
              <w:rPr>
                <w:noProof w:val="0"/>
                <w:lang w:val="ru-RU"/>
              </w:rPr>
              <w:t>с-ща</w:t>
            </w:r>
            <w:proofErr w:type="spellEnd"/>
            <w:r w:rsidRPr="001A587B">
              <w:rPr>
                <w:noProof w:val="0"/>
                <w:lang w:val="ru-RU"/>
              </w:rPr>
              <w:t xml:space="preserve"> </w:t>
            </w:r>
            <w:proofErr w:type="spellStart"/>
            <w:r w:rsidRPr="001A587B">
              <w:rPr>
                <w:noProof w:val="0"/>
                <w:lang w:val="ru-RU"/>
              </w:rPr>
              <w:t>Єзупіль</w:t>
            </w:r>
            <w:proofErr w:type="spellEnd"/>
            <w:r w:rsidRPr="001A587B">
              <w:rPr>
                <w:noProof w:val="0"/>
                <w:lang w:val="ru-RU"/>
              </w:rPr>
              <w:t>), Палац</w:t>
            </w:r>
            <w:r>
              <w:rPr>
                <w:noProof w:val="0"/>
                <w:lang w:val="ru-RU"/>
              </w:rPr>
              <w:t xml:space="preserve"> </w:t>
            </w:r>
            <w:r w:rsidRPr="001A587B">
              <w:rPr>
                <w:noProof w:val="0"/>
                <w:lang w:val="ru-RU"/>
              </w:rPr>
              <w:t xml:space="preserve">спорту «Прометей» (м. </w:t>
            </w:r>
            <w:proofErr w:type="spellStart"/>
            <w:r w:rsidRPr="001A587B">
              <w:rPr>
                <w:noProof w:val="0"/>
                <w:lang w:val="ru-RU"/>
              </w:rPr>
              <w:t>Бурштин</w:t>
            </w:r>
            <w:proofErr w:type="spellEnd"/>
            <w:r w:rsidRPr="001A587B">
              <w:rPr>
                <w:noProof w:val="0"/>
                <w:lang w:val="ru-RU"/>
              </w:rPr>
              <w:t xml:space="preserve">), </w:t>
            </w:r>
            <w:proofErr w:type="spellStart"/>
            <w:r w:rsidRPr="001A587B">
              <w:rPr>
                <w:noProof w:val="0"/>
                <w:lang w:val="ru-RU"/>
              </w:rPr>
              <w:t>молодіжний</w:t>
            </w:r>
            <w:proofErr w:type="spellEnd"/>
            <w:r w:rsidRPr="001A587B">
              <w:rPr>
                <w:noProof w:val="0"/>
                <w:lang w:val="ru-RU"/>
              </w:rPr>
              <w:t xml:space="preserve"> центр «</w:t>
            </w:r>
            <w:proofErr w:type="spellStart"/>
            <w:r w:rsidRPr="001A587B">
              <w:rPr>
                <w:noProof w:val="0"/>
                <w:lang w:val="ru-RU"/>
              </w:rPr>
              <w:t>Каганець</w:t>
            </w:r>
            <w:proofErr w:type="spellEnd"/>
            <w:r w:rsidRPr="001A587B">
              <w:rPr>
                <w:noProof w:val="0"/>
                <w:lang w:val="ru-RU"/>
              </w:rPr>
              <w:t>»</w:t>
            </w:r>
            <w:r>
              <w:rPr>
                <w:noProof w:val="0"/>
                <w:lang w:val="ru-RU"/>
              </w:rPr>
              <w:t xml:space="preserve"> </w:t>
            </w:r>
            <w:r w:rsidRPr="001A587B">
              <w:rPr>
                <w:noProof w:val="0"/>
                <w:lang w:val="ru-RU"/>
              </w:rPr>
              <w:t xml:space="preserve">(м. </w:t>
            </w:r>
            <w:proofErr w:type="spellStart"/>
            <w:r w:rsidRPr="001A587B">
              <w:rPr>
                <w:noProof w:val="0"/>
                <w:lang w:val="ru-RU"/>
              </w:rPr>
              <w:t>Бурштин</w:t>
            </w:r>
            <w:proofErr w:type="spellEnd"/>
            <w:r w:rsidRPr="001A587B">
              <w:rPr>
                <w:noProof w:val="0"/>
                <w:lang w:val="ru-RU"/>
              </w:rPr>
              <w:t xml:space="preserve">), </w:t>
            </w:r>
            <w:proofErr w:type="spellStart"/>
            <w:r w:rsidRPr="001A587B">
              <w:rPr>
                <w:noProof w:val="0"/>
                <w:lang w:val="ru-RU"/>
              </w:rPr>
              <w:t>церква</w:t>
            </w:r>
            <w:proofErr w:type="spellEnd"/>
            <w:r w:rsidRPr="001A587B">
              <w:rPr>
                <w:noProof w:val="0"/>
                <w:lang w:val="ru-RU"/>
              </w:rPr>
              <w:t xml:space="preserve"> </w:t>
            </w:r>
            <w:proofErr w:type="spellStart"/>
            <w:r w:rsidRPr="001A587B">
              <w:rPr>
                <w:noProof w:val="0"/>
                <w:lang w:val="ru-RU"/>
              </w:rPr>
              <w:t>Успіння</w:t>
            </w:r>
            <w:proofErr w:type="spellEnd"/>
            <w:r w:rsidRPr="001A587B">
              <w:rPr>
                <w:noProof w:val="0"/>
                <w:lang w:val="ru-RU"/>
              </w:rPr>
              <w:t xml:space="preserve"> </w:t>
            </w:r>
            <w:proofErr w:type="spellStart"/>
            <w:r w:rsidRPr="001A587B">
              <w:rPr>
                <w:noProof w:val="0"/>
                <w:lang w:val="ru-RU"/>
              </w:rPr>
              <w:t>Пресвятої</w:t>
            </w:r>
            <w:proofErr w:type="spellEnd"/>
            <w:r w:rsidRPr="001A587B">
              <w:rPr>
                <w:noProof w:val="0"/>
                <w:lang w:val="ru-RU"/>
              </w:rPr>
              <w:t xml:space="preserve"> </w:t>
            </w:r>
            <w:proofErr w:type="spellStart"/>
            <w:r w:rsidRPr="001A587B">
              <w:rPr>
                <w:noProof w:val="0"/>
                <w:lang w:val="ru-RU"/>
              </w:rPr>
              <w:t>Богородиці</w:t>
            </w:r>
            <w:proofErr w:type="spellEnd"/>
            <w:r w:rsidRPr="001A587B">
              <w:rPr>
                <w:noProof w:val="0"/>
                <w:lang w:val="ru-RU"/>
              </w:rPr>
              <w:t xml:space="preserve"> (с. </w:t>
            </w:r>
            <w:proofErr w:type="spellStart"/>
            <w:r w:rsidRPr="001A587B">
              <w:rPr>
                <w:noProof w:val="0"/>
                <w:lang w:val="ru-RU"/>
              </w:rPr>
              <w:t>Крилос</w:t>
            </w:r>
            <w:proofErr w:type="spellEnd"/>
            <w:r w:rsidRPr="001A587B">
              <w:rPr>
                <w:noProof w:val="0"/>
                <w:lang w:val="ru-RU"/>
              </w:rPr>
              <w:t>),</w:t>
            </w:r>
            <w:r>
              <w:rPr>
                <w:noProof w:val="0"/>
                <w:lang w:val="ru-RU"/>
              </w:rPr>
              <w:t xml:space="preserve"> </w:t>
            </w:r>
            <w:proofErr w:type="spellStart"/>
            <w:r w:rsidRPr="001A587B">
              <w:rPr>
                <w:noProof w:val="0"/>
                <w:lang w:val="ru-RU"/>
              </w:rPr>
              <w:t>церква</w:t>
            </w:r>
            <w:proofErr w:type="spellEnd"/>
            <w:r w:rsidRPr="001A587B">
              <w:rPr>
                <w:noProof w:val="0"/>
                <w:lang w:val="ru-RU"/>
              </w:rPr>
              <w:t xml:space="preserve"> святого </w:t>
            </w:r>
            <w:proofErr w:type="spellStart"/>
            <w:r w:rsidRPr="001A587B">
              <w:rPr>
                <w:noProof w:val="0"/>
                <w:lang w:val="ru-RU"/>
              </w:rPr>
              <w:t>Пантелеймона</w:t>
            </w:r>
            <w:proofErr w:type="spellEnd"/>
            <w:r w:rsidRPr="001A587B">
              <w:rPr>
                <w:noProof w:val="0"/>
                <w:lang w:val="ru-RU"/>
              </w:rPr>
              <w:t xml:space="preserve"> (с. Шевченкове), музей </w:t>
            </w:r>
            <w:proofErr w:type="spellStart"/>
            <w:r w:rsidRPr="001A587B">
              <w:rPr>
                <w:noProof w:val="0"/>
                <w:lang w:val="ru-RU"/>
              </w:rPr>
              <w:t>історії</w:t>
            </w:r>
            <w:proofErr w:type="spellEnd"/>
            <w:r w:rsidRPr="001A587B">
              <w:rPr>
                <w:noProof w:val="0"/>
                <w:lang w:val="ru-RU"/>
              </w:rPr>
              <w:t xml:space="preserve"> </w:t>
            </w:r>
            <w:proofErr w:type="spellStart"/>
            <w:r w:rsidRPr="001A587B">
              <w:rPr>
                <w:noProof w:val="0"/>
                <w:lang w:val="ru-RU"/>
              </w:rPr>
              <w:t>Давньо</w:t>
            </w:r>
            <w:r>
              <w:rPr>
                <w:noProof w:val="0"/>
                <w:lang w:val="ru-RU"/>
              </w:rPr>
              <w:t>го</w:t>
            </w:r>
            <w:proofErr w:type="spellEnd"/>
            <w:r>
              <w:rPr>
                <w:noProof w:val="0"/>
                <w:lang w:val="ru-RU"/>
              </w:rPr>
              <w:t xml:space="preserve"> </w:t>
            </w:r>
            <w:r w:rsidRPr="001A587B">
              <w:rPr>
                <w:noProof w:val="0"/>
                <w:lang w:val="ru-RU"/>
              </w:rPr>
              <w:t xml:space="preserve">Галича (с. </w:t>
            </w:r>
            <w:proofErr w:type="spellStart"/>
            <w:r w:rsidRPr="001A587B">
              <w:rPr>
                <w:noProof w:val="0"/>
                <w:lang w:val="ru-RU"/>
              </w:rPr>
              <w:t>Крилос</w:t>
            </w:r>
            <w:proofErr w:type="spellEnd"/>
            <w:r w:rsidRPr="001A587B">
              <w:rPr>
                <w:noProof w:val="0"/>
                <w:lang w:val="ru-RU"/>
              </w:rPr>
              <w:t xml:space="preserve">), Княжа </w:t>
            </w:r>
            <w:proofErr w:type="spellStart"/>
            <w:r w:rsidRPr="001A587B">
              <w:rPr>
                <w:noProof w:val="0"/>
                <w:lang w:val="ru-RU"/>
              </w:rPr>
              <w:t>криниця</w:t>
            </w:r>
            <w:proofErr w:type="spellEnd"/>
            <w:r w:rsidRPr="001A587B">
              <w:rPr>
                <w:noProof w:val="0"/>
                <w:lang w:val="ru-RU"/>
              </w:rPr>
              <w:t xml:space="preserve"> (с. </w:t>
            </w:r>
            <w:proofErr w:type="spellStart"/>
            <w:r w:rsidRPr="001A587B">
              <w:rPr>
                <w:noProof w:val="0"/>
                <w:lang w:val="ru-RU"/>
              </w:rPr>
              <w:t>Крилос</w:t>
            </w:r>
            <w:proofErr w:type="spellEnd"/>
            <w:r w:rsidRPr="001A587B">
              <w:rPr>
                <w:noProof w:val="0"/>
                <w:lang w:val="ru-RU"/>
              </w:rPr>
              <w:t>), музей</w:t>
            </w:r>
            <w:proofErr w:type="gramEnd"/>
            <w:r w:rsidRPr="001A587B">
              <w:rPr>
                <w:noProof w:val="0"/>
                <w:lang w:val="ru-RU"/>
              </w:rPr>
              <w:t xml:space="preserve"> </w:t>
            </w:r>
            <w:proofErr w:type="spellStart"/>
            <w:r w:rsidRPr="001A587B">
              <w:rPr>
                <w:noProof w:val="0"/>
                <w:lang w:val="ru-RU"/>
              </w:rPr>
              <w:t>етнографії</w:t>
            </w:r>
            <w:proofErr w:type="spellEnd"/>
            <w:r>
              <w:rPr>
                <w:noProof w:val="0"/>
                <w:lang w:val="ru-RU"/>
              </w:rPr>
              <w:t xml:space="preserve"> </w:t>
            </w:r>
            <w:r w:rsidRPr="001A587B">
              <w:rPr>
                <w:noProof w:val="0"/>
                <w:lang w:val="ru-RU"/>
              </w:rPr>
              <w:t xml:space="preserve">(с. </w:t>
            </w:r>
            <w:proofErr w:type="spellStart"/>
            <w:r w:rsidRPr="001A587B">
              <w:rPr>
                <w:noProof w:val="0"/>
                <w:lang w:val="ru-RU"/>
              </w:rPr>
              <w:t>Крилос</w:t>
            </w:r>
            <w:proofErr w:type="spellEnd"/>
            <w:r w:rsidRPr="001A587B">
              <w:rPr>
                <w:noProof w:val="0"/>
                <w:lang w:val="ru-RU"/>
              </w:rPr>
              <w:t xml:space="preserve">), </w:t>
            </w:r>
            <w:proofErr w:type="spellStart"/>
            <w:r w:rsidRPr="001A587B">
              <w:rPr>
                <w:noProof w:val="0"/>
                <w:lang w:val="ru-RU"/>
              </w:rPr>
              <w:t>Галицький</w:t>
            </w:r>
            <w:proofErr w:type="spellEnd"/>
            <w:r w:rsidRPr="001A587B">
              <w:rPr>
                <w:noProof w:val="0"/>
                <w:lang w:val="ru-RU"/>
              </w:rPr>
              <w:t xml:space="preserve"> замок </w:t>
            </w:r>
            <w:r w:rsidR="00B812C4">
              <w:rPr>
                <w:noProof w:val="0"/>
                <w:lang w:val="ru-RU"/>
              </w:rPr>
              <w:br/>
            </w:r>
            <w:r w:rsidRPr="001A587B">
              <w:rPr>
                <w:noProof w:val="0"/>
                <w:lang w:val="ru-RU"/>
              </w:rPr>
              <w:t xml:space="preserve">(м. Галич), </w:t>
            </w:r>
            <w:proofErr w:type="spellStart"/>
            <w:r w:rsidRPr="001A587B">
              <w:rPr>
                <w:noProof w:val="0"/>
                <w:lang w:val="ru-RU"/>
              </w:rPr>
              <w:t>Народний</w:t>
            </w:r>
            <w:proofErr w:type="spellEnd"/>
            <w:r w:rsidRPr="001A587B">
              <w:rPr>
                <w:noProof w:val="0"/>
                <w:lang w:val="ru-RU"/>
              </w:rPr>
              <w:t xml:space="preserve"> </w:t>
            </w:r>
            <w:proofErr w:type="spellStart"/>
            <w:r w:rsidRPr="001A587B">
              <w:rPr>
                <w:noProof w:val="0"/>
                <w:lang w:val="ru-RU"/>
              </w:rPr>
              <w:t>дім</w:t>
            </w:r>
            <w:proofErr w:type="spellEnd"/>
            <w:r w:rsidRPr="001A587B">
              <w:rPr>
                <w:noProof w:val="0"/>
                <w:lang w:val="ru-RU"/>
              </w:rPr>
              <w:t xml:space="preserve"> (м. Галич),</w:t>
            </w:r>
            <w:r>
              <w:rPr>
                <w:noProof w:val="0"/>
                <w:lang w:val="ru-RU"/>
              </w:rPr>
              <w:t xml:space="preserve"> </w:t>
            </w:r>
            <w:proofErr w:type="spellStart"/>
            <w:r w:rsidRPr="001A587B">
              <w:rPr>
                <w:noProof w:val="0"/>
                <w:lang w:val="ru-RU"/>
              </w:rPr>
              <w:t>церква</w:t>
            </w:r>
            <w:proofErr w:type="spellEnd"/>
            <w:r w:rsidRPr="001A587B">
              <w:rPr>
                <w:noProof w:val="0"/>
                <w:lang w:val="ru-RU"/>
              </w:rPr>
              <w:t xml:space="preserve"> </w:t>
            </w:r>
            <w:proofErr w:type="spellStart"/>
            <w:proofErr w:type="gramStart"/>
            <w:r w:rsidRPr="001A587B">
              <w:rPr>
                <w:noProof w:val="0"/>
                <w:lang w:val="ru-RU"/>
              </w:rPr>
              <w:t>Р</w:t>
            </w:r>
            <w:proofErr w:type="gramEnd"/>
            <w:r w:rsidRPr="001A587B">
              <w:rPr>
                <w:noProof w:val="0"/>
                <w:lang w:val="ru-RU"/>
              </w:rPr>
              <w:t>іздва</w:t>
            </w:r>
            <w:proofErr w:type="spellEnd"/>
            <w:r w:rsidRPr="001A587B">
              <w:rPr>
                <w:noProof w:val="0"/>
                <w:lang w:val="ru-RU"/>
              </w:rPr>
              <w:t xml:space="preserve"> </w:t>
            </w:r>
            <w:proofErr w:type="spellStart"/>
            <w:r w:rsidRPr="001A587B">
              <w:rPr>
                <w:noProof w:val="0"/>
                <w:lang w:val="ru-RU"/>
              </w:rPr>
              <w:t>Пресвятої</w:t>
            </w:r>
            <w:proofErr w:type="spellEnd"/>
            <w:r w:rsidRPr="001A587B">
              <w:rPr>
                <w:noProof w:val="0"/>
                <w:lang w:val="ru-RU"/>
              </w:rPr>
              <w:t xml:space="preserve"> </w:t>
            </w:r>
            <w:proofErr w:type="spellStart"/>
            <w:r w:rsidRPr="001A587B">
              <w:rPr>
                <w:noProof w:val="0"/>
                <w:lang w:val="ru-RU"/>
              </w:rPr>
              <w:t>Богородиці</w:t>
            </w:r>
            <w:proofErr w:type="spellEnd"/>
            <w:r w:rsidRPr="001A587B">
              <w:rPr>
                <w:noProof w:val="0"/>
                <w:lang w:val="ru-RU"/>
              </w:rPr>
              <w:t xml:space="preserve"> </w:t>
            </w:r>
            <w:r w:rsidR="00B812C4">
              <w:rPr>
                <w:noProof w:val="0"/>
                <w:lang w:val="ru-RU"/>
              </w:rPr>
              <w:br/>
            </w:r>
            <w:r w:rsidRPr="001A587B">
              <w:rPr>
                <w:noProof w:val="0"/>
                <w:lang w:val="ru-RU"/>
              </w:rPr>
              <w:t xml:space="preserve">(м. Рогатин), костел </w:t>
            </w:r>
            <w:proofErr w:type="spellStart"/>
            <w:r w:rsidRPr="001A587B">
              <w:rPr>
                <w:noProof w:val="0"/>
                <w:lang w:val="ru-RU"/>
              </w:rPr>
              <w:t>святої</w:t>
            </w:r>
            <w:proofErr w:type="spellEnd"/>
            <w:r w:rsidRPr="001A587B">
              <w:rPr>
                <w:noProof w:val="0"/>
                <w:lang w:val="ru-RU"/>
              </w:rPr>
              <w:t xml:space="preserve"> </w:t>
            </w:r>
            <w:proofErr w:type="spellStart"/>
            <w:r w:rsidRPr="001A587B">
              <w:rPr>
                <w:noProof w:val="0"/>
                <w:lang w:val="ru-RU"/>
              </w:rPr>
              <w:t>Анни</w:t>
            </w:r>
            <w:proofErr w:type="spellEnd"/>
            <w:r w:rsidRPr="001A587B">
              <w:rPr>
                <w:noProof w:val="0"/>
                <w:lang w:val="ru-RU"/>
              </w:rPr>
              <w:t>,</w:t>
            </w:r>
            <w:r>
              <w:rPr>
                <w:noProof w:val="0"/>
                <w:lang w:val="ru-RU"/>
              </w:rPr>
              <w:t xml:space="preserve"> (</w:t>
            </w:r>
            <w:r w:rsidRPr="001A587B">
              <w:rPr>
                <w:noProof w:val="0"/>
                <w:lang w:val="ru-RU"/>
              </w:rPr>
              <w:t xml:space="preserve">м. Рогатин), </w:t>
            </w:r>
            <w:proofErr w:type="spellStart"/>
            <w:r w:rsidRPr="001A587B">
              <w:rPr>
                <w:noProof w:val="0"/>
                <w:lang w:val="ru-RU"/>
              </w:rPr>
              <w:t>церква</w:t>
            </w:r>
            <w:proofErr w:type="spellEnd"/>
            <w:r w:rsidRPr="001A587B">
              <w:rPr>
                <w:noProof w:val="0"/>
                <w:lang w:val="ru-RU"/>
              </w:rPr>
              <w:t xml:space="preserve"> </w:t>
            </w:r>
            <w:proofErr w:type="spellStart"/>
            <w:r w:rsidRPr="001A587B">
              <w:rPr>
                <w:noProof w:val="0"/>
                <w:lang w:val="ru-RU"/>
              </w:rPr>
              <w:t>Зішестя</w:t>
            </w:r>
            <w:proofErr w:type="spellEnd"/>
            <w:r w:rsidRPr="001A587B">
              <w:rPr>
                <w:noProof w:val="0"/>
                <w:lang w:val="ru-RU"/>
              </w:rPr>
              <w:t xml:space="preserve"> Святого Духа </w:t>
            </w:r>
            <w:r w:rsidR="00B812C4">
              <w:rPr>
                <w:noProof w:val="0"/>
                <w:lang w:val="ru-RU"/>
              </w:rPr>
              <w:br/>
            </w:r>
            <w:r w:rsidRPr="001A587B">
              <w:rPr>
                <w:noProof w:val="0"/>
                <w:lang w:val="ru-RU"/>
              </w:rPr>
              <w:t>(м. Рогатин).</w:t>
            </w:r>
          </w:p>
          <w:p w:rsidR="005D249D" w:rsidRPr="001A587B" w:rsidRDefault="005D249D" w:rsidP="006C23AD">
            <w:pPr>
              <w:autoSpaceDE w:val="0"/>
              <w:autoSpaceDN w:val="0"/>
              <w:adjustRightInd w:val="0"/>
              <w:ind w:firstLine="279"/>
              <w:jc w:val="both"/>
            </w:pPr>
          </w:p>
        </w:tc>
      </w:tr>
      <w:tr w:rsidR="005D249D" w:rsidTr="00665C3B">
        <w:trPr>
          <w:trHeight w:val="1075"/>
        </w:trPr>
        <w:tc>
          <w:tcPr>
            <w:tcW w:w="5762" w:type="dxa"/>
          </w:tcPr>
          <w:p w:rsidR="005D249D" w:rsidRDefault="005D249D" w:rsidP="00C310AB">
            <w:r w:rsidRPr="002570E5">
              <w:lastRenderedPageBreak/>
              <w:t>Проведення аналізу забезпечення належного рівня доступності  транспортних послуг та до об</w:t>
            </w:r>
            <w:r w:rsidRPr="002570E5">
              <w:rPr>
                <w:lang w:val="ru-RU"/>
              </w:rPr>
              <w:t>’</w:t>
            </w:r>
            <w:r w:rsidRPr="002570E5">
              <w:t xml:space="preserve">єктів транспортної інфраструктури </w:t>
            </w:r>
            <w:r>
              <w:t>:</w:t>
            </w:r>
          </w:p>
          <w:p w:rsidR="00E64A83" w:rsidRDefault="00E64A83" w:rsidP="00C310AB"/>
          <w:p w:rsidR="00E64A83" w:rsidRDefault="00E64A83" w:rsidP="00C310AB"/>
          <w:p w:rsidR="005D249D" w:rsidRDefault="005D249D" w:rsidP="00C310AB">
            <w:r>
              <w:t>- щодо</w:t>
            </w:r>
            <w:r w:rsidRPr="00DF5688">
              <w:t xml:space="preserve"> кількості транспорту міського, міжміського сполучення, які відповідають вимогам доступності</w:t>
            </w:r>
            <w:r>
              <w:t>;</w:t>
            </w:r>
          </w:p>
          <w:p w:rsidR="00E64A83" w:rsidRDefault="00E64A83" w:rsidP="00C310AB"/>
          <w:p w:rsidR="00E64A83" w:rsidRDefault="00E64A83" w:rsidP="00C310AB"/>
          <w:p w:rsidR="00E64A83" w:rsidRDefault="00E64A83" w:rsidP="00C310AB"/>
          <w:p w:rsidR="00E64A83" w:rsidRDefault="00E64A83" w:rsidP="00C310AB"/>
          <w:p w:rsidR="00E64A83" w:rsidRDefault="00E64A83" w:rsidP="00C310AB"/>
          <w:p w:rsidR="00E64A83" w:rsidRDefault="00E64A83" w:rsidP="00C310AB"/>
          <w:p w:rsidR="005D249D" w:rsidRDefault="005D249D" w:rsidP="00C310AB">
            <w:r>
              <w:t xml:space="preserve">- щодо </w:t>
            </w:r>
            <w:r w:rsidRPr="00B96541">
              <w:t>забезпечення облаштування зупинок громадського транспорту елементами доступності для людей з різними формами інвалідності та маломобільних груп населення</w:t>
            </w:r>
            <w:r>
              <w:t>.</w:t>
            </w:r>
          </w:p>
          <w:p w:rsidR="005D249D" w:rsidRPr="002570E5" w:rsidRDefault="005D249D" w:rsidP="007E2B1D">
            <w:pPr>
              <w:spacing w:before="100" w:beforeAutospacing="1" w:after="100" w:afterAutospacing="1"/>
            </w:pPr>
          </w:p>
        </w:tc>
        <w:tc>
          <w:tcPr>
            <w:tcW w:w="9080" w:type="dxa"/>
          </w:tcPr>
          <w:p w:rsidR="005D249D" w:rsidRDefault="005D249D" w:rsidP="005D249D">
            <w:pPr>
              <w:ind w:right="38" w:firstLine="279"/>
              <w:jc w:val="both"/>
            </w:pPr>
            <w:r>
              <w:lastRenderedPageBreak/>
              <w:t>Д</w:t>
            </w:r>
            <w:r w:rsidRPr="006A799F">
              <w:t>ля обслуговування міських та приміських автобусних маршрутів загального користування в області задіяно близько 240 транспортних засобів пристосованих для перевезення осіб з інвалідністю. Автостанції області обладнані пандусами. На центральному автовокзалі обласного центру встановлено звуковий орієнтир для осіб з вадами зору.</w:t>
            </w:r>
          </w:p>
          <w:p w:rsidR="005D249D" w:rsidRPr="00660EC8" w:rsidRDefault="005D249D" w:rsidP="005D249D">
            <w:pPr>
              <w:ind w:firstLine="279"/>
              <w:jc w:val="both"/>
            </w:pPr>
            <w:r w:rsidRPr="00660EC8">
              <w:t xml:space="preserve">Забезпечено доступність 251 наземного пішохідного переходу на дорогах державного значення. Функціонує 14 наявних світлофорних об’єктів, з яких 5 облаштовані спеціальними звуковими пристроями зі  звуковими сигналами для людей з вадами зору. </w:t>
            </w:r>
          </w:p>
          <w:p w:rsidR="005D249D" w:rsidRPr="00660EC8" w:rsidRDefault="005D249D" w:rsidP="005D249D">
            <w:pPr>
              <w:ind w:right="38" w:firstLine="279"/>
              <w:jc w:val="both"/>
            </w:pPr>
            <w:r w:rsidRPr="00660EC8">
              <w:lastRenderedPageBreak/>
              <w:t>Постійно проводиться робота щодо встановлення обладнання в автобусах та тролейбусах комунального транспорту для внутрішнього оповіщення зупинок громадського транспорту. Забезпечено встановлення обладнання в транспорті</w:t>
            </w:r>
            <w:r w:rsidR="0088347C">
              <w:br/>
            </w:r>
            <w:r w:rsidRPr="00660EC8">
              <w:t>КП «Електротранс», зокрема, в салонах 74 автобусів та 35 тролейбусів для осіб з порушенням слуху встановлено візуальну текстову систему</w:t>
            </w:r>
            <w:r>
              <w:t>.</w:t>
            </w:r>
          </w:p>
          <w:p w:rsidR="00C36685" w:rsidRDefault="005D249D" w:rsidP="005D249D">
            <w:pPr>
              <w:jc w:val="both"/>
            </w:pPr>
            <w:r w:rsidRPr="006A799F">
              <w:t>На офіційному веб-сайті облдержадміністрації розміщено дані про створення умов доступності транспорту до об’єктів транспортної інфраструктури для осіб з інвалідністю та інших маломобільних груп населення у сфері транспорту і транспортно-дорожньої інфраструктури</w:t>
            </w:r>
            <w:r>
              <w:t xml:space="preserve">    </w:t>
            </w:r>
          </w:p>
          <w:p w:rsidR="005D249D" w:rsidRPr="00FF4916" w:rsidRDefault="004E239A" w:rsidP="005D249D">
            <w:pPr>
              <w:jc w:val="both"/>
            </w:pPr>
            <w:hyperlink r:id="rId10" w:tgtFrame="_blank" w:history="1">
              <w:r w:rsidR="005D249D" w:rsidRPr="006A799F">
                <w:rPr>
                  <w:rStyle w:val="a4"/>
                </w:rPr>
                <w:t>https://www.if.gov.ua/ekonomika-if/infrastruktura/transport/transportna-dostupnist</w:t>
              </w:r>
            </w:hyperlink>
          </w:p>
        </w:tc>
      </w:tr>
      <w:tr w:rsidR="005D249D" w:rsidTr="00654D59">
        <w:trPr>
          <w:trHeight w:val="1500"/>
        </w:trPr>
        <w:tc>
          <w:tcPr>
            <w:tcW w:w="5762" w:type="dxa"/>
          </w:tcPr>
          <w:p w:rsidR="005D249D" w:rsidRDefault="005D249D" w:rsidP="00C310AB">
            <w:pPr>
              <w:spacing w:before="100" w:beforeAutospacing="1" w:after="100" w:afterAutospacing="1"/>
            </w:pPr>
            <w:r w:rsidRPr="002570E5">
              <w:lastRenderedPageBreak/>
              <w:t>Проведення аналізу забезпечення належного рівня доступності  транспортних послуг та до об</w:t>
            </w:r>
            <w:r w:rsidRPr="002570E5">
              <w:rPr>
                <w:lang w:val="ru-RU"/>
              </w:rPr>
              <w:t>’</w:t>
            </w:r>
            <w:r w:rsidRPr="002570E5">
              <w:t>єкт</w:t>
            </w:r>
            <w:r>
              <w:t>ів транспортної інфраструктури :</w:t>
            </w:r>
          </w:p>
          <w:p w:rsidR="005D249D" w:rsidRPr="002570E5" w:rsidRDefault="005D249D" w:rsidP="00C310AB">
            <w:pPr>
              <w:spacing w:before="100" w:beforeAutospacing="1" w:after="100" w:afterAutospacing="1"/>
            </w:pPr>
            <w:r>
              <w:t xml:space="preserve">- </w:t>
            </w:r>
            <w:r w:rsidRPr="002570E5">
              <w:t xml:space="preserve">забезпечення придбання шкільних автобусів, пристосованих для перевезення дітей, які </w:t>
            </w:r>
            <w:r>
              <w:t>користуються кріслами колісними</w:t>
            </w:r>
          </w:p>
        </w:tc>
        <w:tc>
          <w:tcPr>
            <w:tcW w:w="9080" w:type="dxa"/>
          </w:tcPr>
          <w:p w:rsidR="005D249D" w:rsidRDefault="005D249D" w:rsidP="005D249D">
            <w:pPr>
              <w:spacing w:before="100" w:beforeAutospacing="1" w:after="100" w:afterAutospacing="1"/>
              <w:ind w:firstLine="268"/>
              <w:jc w:val="both"/>
            </w:pPr>
            <w:r>
              <w:t>На даний час в області наявні 13</w:t>
            </w:r>
            <w:r w:rsidRPr="004C2DEC">
              <w:t xml:space="preserve"> спеціальних шкільних автобусів, обладнаних підйомником для переміщення школярів з порушенням опорно-рухового апарату, які користуються кріслами колісними. Для забезпечення підвезення дітей з </w:t>
            </w:r>
            <w:r>
              <w:t xml:space="preserve">інвалідністю </w:t>
            </w:r>
            <w:r w:rsidRPr="004C2DEC">
              <w:t xml:space="preserve"> до на</w:t>
            </w:r>
            <w:r>
              <w:t>вчальних закладів потрібно ще 9</w:t>
            </w:r>
            <w:r w:rsidRPr="004C2DEC">
              <w:t xml:space="preserve"> спеціальних шкільних автобусів. Крім того, </w:t>
            </w:r>
            <w:r>
              <w:t>наявні</w:t>
            </w:r>
            <w:r w:rsidRPr="004C2DEC">
              <w:t xml:space="preserve"> </w:t>
            </w:r>
            <w:r w:rsidRPr="004C2DEC">
              <w:rPr>
                <w:rFonts w:eastAsia="BatangChe"/>
                <w:color w:val="000000"/>
              </w:rPr>
              <w:t xml:space="preserve">7 </w:t>
            </w:r>
            <w:r w:rsidRPr="004C2DEC">
              <w:t xml:space="preserve">мобільних інклюзивно-ресурсних центрів, які призначені для надання додаткових психолого-педагогічних та корекційно-розвиткових послуг дітям з особливими освітніми потребами. У </w:t>
            </w:r>
            <w:r>
              <w:t>2024 році   придбано 6 спеціальних</w:t>
            </w:r>
            <w:r w:rsidRPr="004C2DEC">
              <w:t xml:space="preserve"> шкіл</w:t>
            </w:r>
            <w:r>
              <w:t>ьних автобус</w:t>
            </w:r>
            <w:r w:rsidR="00E3028B">
              <w:t>ів</w:t>
            </w:r>
            <w:r w:rsidRPr="004C2DEC">
              <w:t xml:space="preserve"> з врахуванням коштів, які були  виділені з державного бюджету та співфінансування з місцевого бюджету.</w:t>
            </w:r>
          </w:p>
        </w:tc>
      </w:tr>
      <w:tr w:rsidR="005D249D" w:rsidTr="00654D59">
        <w:trPr>
          <w:trHeight w:val="1500"/>
        </w:trPr>
        <w:tc>
          <w:tcPr>
            <w:tcW w:w="5762" w:type="dxa"/>
          </w:tcPr>
          <w:p w:rsidR="005D249D" w:rsidRPr="002570E5" w:rsidRDefault="005D249D" w:rsidP="00C310AB">
            <w:pPr>
              <w:spacing w:before="100" w:beforeAutospacing="1" w:after="100" w:afterAutospacing="1"/>
            </w:pPr>
            <w:r w:rsidRPr="003D410C">
              <w:t>Проведення аналізу запровадження комплексних реабілітаційних та абілітаційних послуг, спрямованих на підвищення якості життя, активності, працездатності та залучення в усі форми суспільного життя осіб з інвалідністю  та ветеранів війни.</w:t>
            </w:r>
          </w:p>
        </w:tc>
        <w:tc>
          <w:tcPr>
            <w:tcW w:w="9080" w:type="dxa"/>
          </w:tcPr>
          <w:p w:rsidR="005D249D" w:rsidRPr="00EE7514" w:rsidRDefault="005D249D" w:rsidP="009D4026">
            <w:pPr>
              <w:ind w:firstLine="294"/>
              <w:jc w:val="both"/>
            </w:pPr>
            <w:r w:rsidRPr="00EE7514">
              <w:t>У травні 2024 року  на Прикарпатті відбувся форум «Світ без обмежень», спрямований на всебічну підтримку людей з інвалідністю. Серед учасників – делегації з 16 областей зокрема, представники державних структур, громадськості, експерти. Учасники форуму обговорили актуальні проблеми людей з інвалідністю, обмінялися досвідом, а також розроб</w:t>
            </w:r>
            <w:r w:rsidR="004A7F8E">
              <w:t>или</w:t>
            </w:r>
            <w:r w:rsidRPr="00EE7514">
              <w:t xml:space="preserve"> ефективні шляхи вдосконалення послуг комплексної соціальної та медичної реабілітації в умовах воєнного стану. Інформація розміщена  за посиланням:</w:t>
            </w:r>
          </w:p>
          <w:p w:rsidR="005D249D" w:rsidRDefault="004E239A" w:rsidP="009D4026">
            <w:pPr>
              <w:ind w:right="38" w:firstLine="294"/>
              <w:jc w:val="both"/>
              <w:rPr>
                <w:sz w:val="22"/>
                <w:szCs w:val="22"/>
              </w:rPr>
            </w:pPr>
            <w:hyperlink r:id="rId11" w:tgtFrame="_blank" w:history="1">
              <w:r w:rsidR="005D249D" w:rsidRPr="00536B7E">
                <w:rPr>
                  <w:rStyle w:val="a4"/>
                  <w:sz w:val="22"/>
                  <w:szCs w:val="22"/>
                </w:rPr>
                <w:t>https://www.congress.gov.ua/na-prykarpatti-prokhodyt-forum-svit-bez-obmezhen/</w:t>
              </w:r>
            </w:hyperlink>
          </w:p>
          <w:p w:rsidR="005D249D" w:rsidRPr="009D4026" w:rsidRDefault="005D249D" w:rsidP="009D4026">
            <w:pPr>
              <w:ind w:firstLine="294"/>
              <w:contextualSpacing/>
              <w:jc w:val="both"/>
              <w:rPr>
                <w:rFonts w:eastAsia="Calibri"/>
                <w:lang w:eastAsia="en-US"/>
              </w:rPr>
            </w:pPr>
            <w:r w:rsidRPr="009D4026">
              <w:rPr>
                <w:rFonts w:eastAsia="Calibri"/>
                <w:lang w:eastAsia="en-US"/>
              </w:rPr>
              <w:t xml:space="preserve">Приміщення інтернатних закладів облаштовані засобами доступності для осіб з інвалідністю та інших маломобільних категорій населення. </w:t>
            </w:r>
          </w:p>
          <w:p w:rsidR="005D249D" w:rsidRPr="009D4026" w:rsidRDefault="005D249D" w:rsidP="009D4026">
            <w:pPr>
              <w:shd w:val="clear" w:color="auto" w:fill="FFFFFF"/>
              <w:ind w:firstLine="294"/>
              <w:jc w:val="both"/>
            </w:pPr>
            <w:r w:rsidRPr="009D4026">
              <w:t>У Івано-Франківському геріатричному пансіонаті благодійним фондом «Право і Демократія» завдяки гранту від Програми «Підтримка організацій громадянського суспільства (ОГС)» в Україні у межах фінансової підтримки Посольства Великої Британії впроваджено проект щодо реконструкції ванної кімнати, санвузлів, встановлення поручнів та придбання медичної каталки для людей з інвалідністю, а також встановлення  відповідного пандусу в холі на першому поверсі центрального приміщення пансіонату.</w:t>
            </w:r>
          </w:p>
          <w:p w:rsidR="005D249D" w:rsidRPr="009D4026" w:rsidRDefault="005D249D" w:rsidP="009D4026">
            <w:pPr>
              <w:shd w:val="clear" w:color="auto" w:fill="FFFFFF"/>
              <w:ind w:firstLine="294"/>
              <w:jc w:val="both"/>
            </w:pPr>
            <w:r w:rsidRPr="009D4026">
              <w:t xml:space="preserve">На Прикарпатті ця програма реалізується Crown Agents у партнерстві з International Alertі, завдяки співпраці з Crown Agents in Ukraine та за сприяння </w:t>
            </w:r>
            <w:r w:rsidRPr="009D4026">
              <w:lastRenderedPageBreak/>
              <w:t>Урядового уповноваженого з прав людей з інвалідністю в Івано-Франківській обласній державній (військовій) адміністрації Миколи Макара</w:t>
            </w:r>
            <w:r w:rsidR="00B111DE">
              <w:t>.</w:t>
            </w:r>
            <w:r w:rsidRPr="009D4026">
              <w:t xml:space="preserve"> </w:t>
            </w:r>
          </w:p>
          <w:p w:rsidR="005D249D" w:rsidRPr="009D4026" w:rsidRDefault="0088347C" w:rsidP="009D4026">
            <w:pPr>
              <w:contextualSpacing/>
              <w:jc w:val="both"/>
              <w:rPr>
                <w:rFonts w:eastAsia="Calibri"/>
                <w:lang w:eastAsia="en-US"/>
              </w:rPr>
            </w:pPr>
            <w:r>
              <w:rPr>
                <w:rFonts w:eastAsia="Calibri"/>
                <w:lang w:eastAsia="en-US"/>
              </w:rPr>
              <w:t xml:space="preserve">Окрім того, </w:t>
            </w:r>
            <w:r w:rsidR="005D249D" w:rsidRPr="009D4026">
              <w:rPr>
                <w:rFonts w:eastAsia="Calibri"/>
                <w:lang w:eastAsia="en-US"/>
              </w:rPr>
              <w:t xml:space="preserve">Обласною організацією Товариства Червоного Хреста проведено ремонт зовнішніх сходів житлового корпусу та встановлено пандус у Делятинському психоневрологічному інтернаті по вул. Ковпака, 32, смт. Делятин. </w:t>
            </w:r>
          </w:p>
          <w:p w:rsidR="005D249D" w:rsidRPr="009D4026" w:rsidRDefault="005D249D" w:rsidP="009D4026">
            <w:pPr>
              <w:jc w:val="both"/>
            </w:pPr>
            <w:r w:rsidRPr="009D4026">
              <w:t xml:space="preserve">У рамках реалізації проекту «Модернізація системи соціальної підтримки населення України» та для покращення доступності  для осіб з вадами зору в приміщенні департаменту соціальної політики облдержадміністрації встановлено тактильні інформаційні засоби (інформаційні стенди з шрифтом Брайля). </w:t>
            </w:r>
          </w:p>
          <w:p w:rsidR="005D249D" w:rsidRPr="009D4026" w:rsidRDefault="005D249D" w:rsidP="009D4026">
            <w:pPr>
              <w:ind w:right="38"/>
            </w:pPr>
            <w:r w:rsidRPr="009D4026">
              <w:t>На офіційних сторінках інтернатних закладів області оприлюднено інформацію про результати забезпечення пристосування їхніх приміщень.</w:t>
            </w:r>
          </w:p>
          <w:p w:rsidR="005D249D" w:rsidRPr="009D4026" w:rsidRDefault="005D249D" w:rsidP="009D4026">
            <w:pPr>
              <w:ind w:right="38"/>
            </w:pPr>
            <w:r w:rsidRPr="009D4026">
              <w:t xml:space="preserve">Ознайомитися з інформацією можна за посиланням:  </w:t>
            </w:r>
          </w:p>
          <w:p w:rsidR="005D249D" w:rsidRPr="009D4026" w:rsidRDefault="005D249D" w:rsidP="009D4026">
            <w:r w:rsidRPr="009D4026">
              <w:t>https://www.facebook.com/share/p/XSFZz6qa1MZnhCKD/.</w:t>
            </w:r>
          </w:p>
          <w:p w:rsidR="005D249D" w:rsidRDefault="005D249D" w:rsidP="009D4026">
            <w:pPr>
              <w:pStyle w:val="3"/>
              <w:spacing w:before="0" w:after="0"/>
              <w:ind w:firstLine="294"/>
            </w:pPr>
          </w:p>
        </w:tc>
      </w:tr>
      <w:tr w:rsidR="005D249D" w:rsidTr="005D249D">
        <w:trPr>
          <w:trHeight w:val="2319"/>
        </w:trPr>
        <w:tc>
          <w:tcPr>
            <w:tcW w:w="5762" w:type="dxa"/>
          </w:tcPr>
          <w:p w:rsidR="005D249D" w:rsidRPr="003D410C" w:rsidRDefault="005D249D" w:rsidP="00C310AB">
            <w:pPr>
              <w:spacing w:before="100" w:beforeAutospacing="1" w:after="100" w:afterAutospacing="1"/>
            </w:pPr>
            <w:r>
              <w:lastRenderedPageBreak/>
              <w:t>Сприяння зайнятості осіб з інвалідністю в т.ч. компенсаційних витрат роботодавц</w:t>
            </w:r>
            <w:r w:rsidR="004C2799">
              <w:t>ям.</w:t>
            </w:r>
          </w:p>
        </w:tc>
        <w:tc>
          <w:tcPr>
            <w:tcW w:w="9080" w:type="dxa"/>
          </w:tcPr>
          <w:p w:rsidR="005D249D" w:rsidRDefault="005D249D" w:rsidP="00194858">
            <w:pPr>
              <w:pBdr>
                <w:bottom w:val="single" w:sz="12" w:space="31" w:color="FFFFFF"/>
              </w:pBdr>
              <w:ind w:firstLine="294"/>
              <w:jc w:val="both"/>
            </w:pPr>
            <w:r w:rsidRPr="00B157EC">
              <w:t xml:space="preserve">Протягом січня-листопада 2024 року профорієнтаційними послугами охоплено 1054 особи з інвалідністю з числа безробітних; всього особам з інвалідністю надано 4036 послуг, серед яких 1858 профінформаційних послуг, 2108 профконсультаційних послуг, 70 – по профвідбору. </w:t>
            </w:r>
          </w:p>
          <w:p w:rsidR="005D249D" w:rsidRPr="00194858" w:rsidRDefault="005D249D" w:rsidP="00194858">
            <w:pPr>
              <w:pBdr>
                <w:bottom w:val="single" w:sz="12" w:space="31" w:color="FFFFFF"/>
              </w:pBdr>
              <w:ind w:firstLine="294"/>
              <w:jc w:val="both"/>
              <w:rPr>
                <w:shd w:val="clear" w:color="auto" w:fill="FFFFFF"/>
              </w:rPr>
            </w:pPr>
            <w:r>
              <w:t>Службою зайнятості активно реалізуються</w:t>
            </w:r>
            <w:r w:rsidRPr="00194858">
              <w:t xml:space="preserve"> урядові програми, спрямовані на </w:t>
            </w:r>
            <w:r w:rsidRPr="00194858">
              <w:rPr>
                <w:shd w:val="clear" w:color="auto" w:fill="FFFFFF"/>
              </w:rPr>
              <w:t xml:space="preserve"> економічне стимулювання роботодавців до збереження та створення нових робочих місць шляхом надання роботодавцям компенсацій, у разі працевлаштування окремих категорій громадян, зокрема, осіб з інвалідністю.</w:t>
            </w:r>
          </w:p>
          <w:p w:rsidR="005D249D" w:rsidRPr="00194858" w:rsidRDefault="005D249D" w:rsidP="00194858">
            <w:pPr>
              <w:pBdr>
                <w:bottom w:val="single" w:sz="12" w:space="31" w:color="FFFFFF"/>
              </w:pBdr>
              <w:ind w:firstLine="294"/>
              <w:jc w:val="both"/>
            </w:pPr>
            <w:r w:rsidRPr="00194858">
              <w:t xml:space="preserve"> Однією із таких програм є надання роботодавцям компенсації фактичних витрат за облаштування робочих місць працевлаштованих осіб з інвалідністю І або ІІ групи з числа застрахованих осіб.</w:t>
            </w:r>
          </w:p>
          <w:p w:rsidR="005D249D" w:rsidRPr="00194858" w:rsidRDefault="005D249D" w:rsidP="00194858">
            <w:pPr>
              <w:pBdr>
                <w:bottom w:val="single" w:sz="12" w:space="31" w:color="FFFFFF"/>
              </w:pBdr>
              <w:ind w:firstLine="294"/>
              <w:jc w:val="both"/>
            </w:pPr>
            <w:r w:rsidRPr="00194858">
              <w:t>Впродовж 11 місяців цього року роботодавці області отримали компенсацію за облаштування 143  робочих місць.</w:t>
            </w:r>
          </w:p>
          <w:p w:rsidR="005D249D" w:rsidRDefault="005D249D" w:rsidP="006E433A">
            <w:pPr>
              <w:pBdr>
                <w:bottom w:val="single" w:sz="12" w:space="31" w:color="FFFFFF"/>
              </w:pBdr>
              <w:ind w:firstLine="294"/>
              <w:jc w:val="both"/>
            </w:pPr>
            <w:r>
              <w:t>Окрім того, проводилась</w:t>
            </w:r>
            <w:r w:rsidRPr="00E32338">
              <w:t xml:space="preserve"> робота щодо реалізації інших програм сприяння зайнятості людей з інвалідністю,  зокрема, в січні-листопаді 2024 року </w:t>
            </w:r>
            <w:r>
              <w:br/>
            </w:r>
            <w:r w:rsidRPr="00E32338">
              <w:t xml:space="preserve">17 роботодавців області отримали компенсацію єдиного внеску на загальнообов’язкове державне соціальне страхування та  компенсацію у розмірі </w:t>
            </w:r>
            <w:r w:rsidR="00A73857">
              <w:br/>
            </w:r>
            <w:r w:rsidRPr="00E32338">
              <w:t>50 відсотків фактичних витрат на оплату праці працевлаштованих 18 безробітних</w:t>
            </w:r>
            <w:r>
              <w:t xml:space="preserve"> осіб</w:t>
            </w:r>
            <w:r w:rsidRPr="00E32338">
              <w:t xml:space="preserve"> з інвалідністю. Фінансування цих видів компенсацій здійснювалось за рахунок коштів Фонду соціального захисту інвалідів</w:t>
            </w:r>
            <w:r>
              <w:t>.</w:t>
            </w:r>
          </w:p>
          <w:p w:rsidR="005D249D" w:rsidRDefault="00A73857" w:rsidP="006E433A">
            <w:pPr>
              <w:pBdr>
                <w:bottom w:val="single" w:sz="12" w:space="31" w:color="FFFFFF"/>
              </w:pBdr>
              <w:ind w:firstLine="294"/>
              <w:jc w:val="both"/>
            </w:pPr>
            <w:r>
              <w:t>У</w:t>
            </w:r>
            <w:r w:rsidR="005D249D" w:rsidRPr="00E32338">
              <w:t xml:space="preserve"> цьому році на започаткування  та розвиток власного бізнесу гранти отримали 46 учасників бойових дій та 22 дружини учасників бойових дій, серед них особи </w:t>
            </w:r>
            <w:r w:rsidR="005D249D">
              <w:br/>
            </w:r>
            <w:r w:rsidR="005D249D" w:rsidRPr="00E32338">
              <w:t>з інвалідністю</w:t>
            </w:r>
            <w:r w:rsidR="005D249D">
              <w:t>.</w:t>
            </w:r>
          </w:p>
          <w:p w:rsidR="005D249D" w:rsidRPr="00DF54C4" w:rsidRDefault="005D249D" w:rsidP="00DF54C4">
            <w:pPr>
              <w:pBdr>
                <w:bottom w:val="single" w:sz="12" w:space="31" w:color="FFFFFF"/>
              </w:pBdr>
              <w:ind w:firstLine="227"/>
              <w:jc w:val="both"/>
            </w:pPr>
            <w:r w:rsidRPr="00DF54C4">
              <w:t xml:space="preserve">Впродовж  11 місяців цього року послуги служби зайнятості отримували 1265 осіб </w:t>
            </w:r>
            <w:r w:rsidRPr="00DF54C4">
              <w:lastRenderedPageBreak/>
              <w:t>з інвалідністю, із них 1096 осіб мали с</w:t>
            </w:r>
            <w:r w:rsidRPr="00DF54C4">
              <w:rPr>
                <w:bCs/>
              </w:rPr>
              <w:t xml:space="preserve">татус безробітного. Із загальної чисельності осіб, які мали статус безробітного, 118 осіб з інвалідністю внаслідок війни. </w:t>
            </w:r>
            <w:r w:rsidRPr="00DF54C4">
              <w:t xml:space="preserve">Допомогу по безробіттю отримували 852 особи. </w:t>
            </w:r>
          </w:p>
          <w:p w:rsidR="005D249D" w:rsidRPr="00DF54C4" w:rsidRDefault="005D249D" w:rsidP="00DF54C4">
            <w:pPr>
              <w:pBdr>
                <w:bottom w:val="single" w:sz="12" w:space="31" w:color="FFFFFF"/>
              </w:pBdr>
              <w:ind w:firstLine="227"/>
              <w:jc w:val="both"/>
            </w:pPr>
            <w:r w:rsidRPr="00DF54C4">
              <w:t xml:space="preserve">За сприяння служби зайнятості працевлаштовано 520  осіб, рівень працевлаштування осіб з інвалідністю становить 41%, середній рівень </w:t>
            </w:r>
            <w:r>
              <w:br/>
            </w:r>
            <w:r w:rsidRPr="00DF54C4">
              <w:t>по Україні – 26 %, за даним показником</w:t>
            </w:r>
            <w:r w:rsidR="00A73857">
              <w:t xml:space="preserve"> Івано-Франківська</w:t>
            </w:r>
            <w:r w:rsidRPr="00DF54C4">
              <w:t xml:space="preserve"> обласна служба зайнятості посідає 1 місце серед регіонів України.</w:t>
            </w:r>
          </w:p>
          <w:p w:rsidR="005D249D" w:rsidRPr="00DF54C4" w:rsidRDefault="005D249D" w:rsidP="00DF54C4">
            <w:pPr>
              <w:pBdr>
                <w:bottom w:val="single" w:sz="12" w:space="31" w:color="FFFFFF"/>
              </w:pBdr>
              <w:ind w:firstLine="227"/>
              <w:jc w:val="both"/>
            </w:pPr>
            <w:r w:rsidRPr="00DF54C4">
              <w:t xml:space="preserve">З метою підвищення конкурентоздатності на ринку праці 167 осіб з інвалідністю проходили професійне навчання. </w:t>
            </w:r>
          </w:p>
          <w:p w:rsidR="00B111DE" w:rsidRDefault="005D249D" w:rsidP="00B111DE">
            <w:pPr>
              <w:pBdr>
                <w:bottom w:val="single" w:sz="12" w:space="31" w:color="FFFFFF"/>
              </w:pBdr>
              <w:ind w:firstLine="294"/>
              <w:jc w:val="both"/>
            </w:pPr>
            <w:r w:rsidRPr="00DF54C4">
              <w:t>Також особи з інвалідністю</w:t>
            </w:r>
            <w:r>
              <w:rPr>
                <w:bCs/>
              </w:rPr>
              <w:t xml:space="preserve"> мали</w:t>
            </w:r>
            <w:r w:rsidRPr="00DF54C4">
              <w:rPr>
                <w:bCs/>
              </w:rPr>
              <w:t xml:space="preserve"> можливість отримати ваучер </w:t>
            </w:r>
            <w:r w:rsidRPr="00DF54C4">
              <w:t>на навчання для підвищення своєї конкурентоспроможності на ринку праці</w:t>
            </w:r>
            <w:r w:rsidR="0088347C">
              <w:t>.</w:t>
            </w:r>
          </w:p>
          <w:p w:rsidR="005D249D" w:rsidRPr="00EE7514" w:rsidRDefault="005D249D" w:rsidP="00B111DE">
            <w:pPr>
              <w:pBdr>
                <w:bottom w:val="single" w:sz="12" w:space="31" w:color="FFFFFF"/>
              </w:pBdr>
              <w:ind w:firstLine="294"/>
              <w:jc w:val="both"/>
            </w:pPr>
            <w:r w:rsidRPr="00DF54C4">
              <w:t xml:space="preserve"> У січні –</w:t>
            </w:r>
            <w:r>
              <w:t xml:space="preserve"> </w:t>
            </w:r>
            <w:r w:rsidRPr="00DF54C4">
              <w:t>листопаді  47</w:t>
            </w:r>
            <w:r w:rsidRPr="00DF54C4">
              <w:rPr>
                <w:b/>
              </w:rPr>
              <w:t xml:space="preserve"> </w:t>
            </w:r>
            <w:r w:rsidRPr="00DF54C4">
              <w:t>осіб з інвалідністю</w:t>
            </w:r>
            <w:r w:rsidRPr="00DF54C4">
              <w:rPr>
                <w:b/>
              </w:rPr>
              <w:t xml:space="preserve"> </w:t>
            </w:r>
            <w:r w:rsidRPr="00DF54C4">
              <w:t xml:space="preserve">отримали ваучер на навчання та підвищення кваліфікації. </w:t>
            </w:r>
          </w:p>
        </w:tc>
      </w:tr>
      <w:tr w:rsidR="005D249D" w:rsidTr="00654D59">
        <w:tc>
          <w:tcPr>
            <w:tcW w:w="5762" w:type="dxa"/>
          </w:tcPr>
          <w:p w:rsidR="005D249D" w:rsidRPr="00FF4916" w:rsidRDefault="005D249D" w:rsidP="007E2B1D">
            <w:r w:rsidRPr="00FF4916">
              <w:lastRenderedPageBreak/>
              <w:t>Проведення   експертизи щодо врахування   норм доступності для МГН в технічній документації для об’єктів будівництва.</w:t>
            </w:r>
          </w:p>
        </w:tc>
        <w:tc>
          <w:tcPr>
            <w:tcW w:w="9080" w:type="dxa"/>
          </w:tcPr>
          <w:p w:rsidR="005D249D" w:rsidRDefault="005D249D" w:rsidP="008D2812">
            <w:pPr>
              <w:ind w:firstLine="160"/>
            </w:pPr>
            <w:r>
              <w:t>За період з 01 січня по 31 жовтня 2024 року філією</w:t>
            </w:r>
            <w:r w:rsidRPr="00FF4916">
              <w:t xml:space="preserve"> ДП «Укрдержбудекспертиза»   у Івано-Франківській області</w:t>
            </w:r>
            <w:r>
              <w:t xml:space="preserve">  проведено експертиз інвестиційних програм і проектів будівництва – 110, з яких 30 – експертизи інвестиційних програм і проектів будівництва, в яких враховувались протреби осіб з інвалідністю. </w:t>
            </w:r>
          </w:p>
        </w:tc>
      </w:tr>
      <w:tr w:rsidR="005D249D" w:rsidTr="00654D59">
        <w:tc>
          <w:tcPr>
            <w:tcW w:w="5762" w:type="dxa"/>
          </w:tcPr>
          <w:p w:rsidR="005D249D" w:rsidRPr="00FF4916" w:rsidRDefault="005D249D" w:rsidP="007E2B1D">
            <w:r>
              <w:t>Забезпечення підвищення рівня обізнаності державних службовців та посадових</w:t>
            </w:r>
            <w:r w:rsidR="00F346A0">
              <w:t xml:space="preserve"> осіб місцевого самовряд</w:t>
            </w:r>
            <w:r>
              <w:t>ування щодо прав осіб з інвалідністю, універсального дизайну і доступності</w:t>
            </w:r>
            <w:r w:rsidR="00DA63C2">
              <w:t>.</w:t>
            </w:r>
          </w:p>
        </w:tc>
        <w:tc>
          <w:tcPr>
            <w:tcW w:w="9080" w:type="dxa"/>
          </w:tcPr>
          <w:p w:rsidR="005D249D" w:rsidRPr="008D2812" w:rsidRDefault="005D249D" w:rsidP="008D2812">
            <w:pPr>
              <w:ind w:firstLine="160"/>
              <w:jc w:val="both"/>
            </w:pPr>
            <w:r w:rsidRPr="008D2812">
              <w:t xml:space="preserve">Івано-Франківським регіональним центром підвищення кваліфікації протягом 2024 року забезпечено підвищення рівня обізнаності державних службовців та посадових осіб місцевого самоврядування щодо прав осіб з інвалідністю, універсального дизайну і доступності за загальною короткостроковою програмою підвищення кваліфікації «Захист прав осіб з інвалідністю  у рамках реалізації Національної стратегії зі створення безбар'єрного простору в Україні», за якою підвищили кваліфікацію </w:t>
            </w:r>
            <w:r w:rsidRPr="000D1732">
              <w:t>2 групи</w:t>
            </w:r>
            <w:r w:rsidRPr="008D2812">
              <w:t xml:space="preserve"> слухачів загальною кількістю </w:t>
            </w:r>
            <w:r w:rsidRPr="000D1732">
              <w:t>81 особа</w:t>
            </w:r>
            <w:r w:rsidRPr="008D2812">
              <w:rPr>
                <w:b/>
              </w:rPr>
              <w:t>,</w:t>
            </w:r>
            <w:r w:rsidRPr="008D2812">
              <w:t xml:space="preserve"> з них: державні службовці категорії «Б» - 17 осіб, державні службовці категорії «В» - 24 особи, посадові особи місцевого самоврядування – 34 особи, працівники інших державних установ – 6 осіб.</w:t>
            </w:r>
          </w:p>
          <w:p w:rsidR="005D249D" w:rsidRDefault="005D249D" w:rsidP="008D2812">
            <w:pPr>
              <w:ind w:firstLine="160"/>
            </w:pPr>
          </w:p>
        </w:tc>
      </w:tr>
      <w:tr w:rsidR="005D249D" w:rsidTr="00654D59">
        <w:tc>
          <w:tcPr>
            <w:tcW w:w="5762" w:type="dxa"/>
          </w:tcPr>
          <w:p w:rsidR="005D249D" w:rsidRPr="00FF4916" w:rsidRDefault="005D249D" w:rsidP="007E2B1D">
            <w:r w:rsidRPr="00FF4916">
              <w:t>Проведення фінансування витрат на навчання осіб з інвалідністю у вищих навчальних закладах України за рахунок коштів Фонду соціального захисту інвалідів та заходів фізкультурно-спортивної реабілітації осіб з інвалідністю.</w:t>
            </w:r>
          </w:p>
        </w:tc>
        <w:tc>
          <w:tcPr>
            <w:tcW w:w="9080" w:type="dxa"/>
          </w:tcPr>
          <w:p w:rsidR="005D249D" w:rsidRDefault="005D249D" w:rsidP="00BC2253">
            <w:pPr>
              <w:ind w:firstLine="227"/>
              <w:jc w:val="both"/>
            </w:pPr>
            <w:r>
              <w:rPr>
                <w:szCs w:val="28"/>
              </w:rPr>
              <w:t xml:space="preserve"> </w:t>
            </w:r>
            <w:r w:rsidRPr="00BC2412">
              <w:rPr>
                <w:szCs w:val="28"/>
              </w:rPr>
              <w:t>У звітному періоді, за рахунок коштів Івано-Франківського обласного відділення фонду соціального захисту осіб з інвалідністю</w:t>
            </w:r>
            <w:r>
              <w:rPr>
                <w:szCs w:val="28"/>
              </w:rPr>
              <w:t xml:space="preserve"> (далі – Фонд</w:t>
            </w:r>
            <w:r w:rsidRPr="00BC2253">
              <w:t xml:space="preserve">), профінансовано </w:t>
            </w:r>
            <w:r w:rsidR="00A73857">
              <w:br/>
            </w:r>
            <w:r w:rsidRPr="00BC2253">
              <w:rPr>
                <w:color w:val="000000"/>
              </w:rPr>
              <w:t xml:space="preserve">165 000 </w:t>
            </w:r>
            <w:r w:rsidRPr="00BC2253">
              <w:t xml:space="preserve">грн. на оплату навчання </w:t>
            </w:r>
            <w:r w:rsidRPr="00BC2253">
              <w:rPr>
                <w:color w:val="000000"/>
              </w:rPr>
              <w:t>9</w:t>
            </w:r>
            <w:r w:rsidRPr="00BC2253">
              <w:t xml:space="preserve"> осіб з інвалідністю в навчальних закладах</w:t>
            </w:r>
            <w:r>
              <w:t>.</w:t>
            </w:r>
            <w:r w:rsidRPr="00B72B4C">
              <w:rPr>
                <w:sz w:val="28"/>
                <w:szCs w:val="28"/>
              </w:rPr>
              <w:t xml:space="preserve"> </w:t>
            </w:r>
            <w:r>
              <w:t>П</w:t>
            </w:r>
            <w:r w:rsidRPr="00BC2253">
              <w:t>рацевлаштован</w:t>
            </w:r>
            <w:r>
              <w:t>о</w:t>
            </w:r>
            <w:r w:rsidRPr="00BC2253">
              <w:t xml:space="preserve"> 4 випускники закладів вищої освіти, які навчались за кошти Фонду.</w:t>
            </w:r>
          </w:p>
          <w:p w:rsidR="005D249D" w:rsidRDefault="005D249D" w:rsidP="00170F8C">
            <w:pPr>
              <w:ind w:right="38"/>
              <w:jc w:val="both"/>
              <w:rPr>
                <w:szCs w:val="28"/>
              </w:rPr>
            </w:pPr>
            <w:r>
              <w:rPr>
                <w:szCs w:val="28"/>
              </w:rPr>
              <w:t xml:space="preserve">  </w:t>
            </w:r>
            <w:r w:rsidRPr="00BC2412">
              <w:rPr>
                <w:szCs w:val="28"/>
              </w:rPr>
              <w:t>Профінансовано та фактично забезпечено технічними засобами реабілітації осіб з інвалідністю та інших окремих категорій населення (в. т. ч. виплата грошової компенсації за самостійно придбані технічні засоб</w:t>
            </w:r>
            <w:r>
              <w:rPr>
                <w:szCs w:val="28"/>
              </w:rPr>
              <w:t xml:space="preserve">и реабілітації) на суму </w:t>
            </w:r>
            <w:r>
              <w:rPr>
                <w:szCs w:val="28"/>
              </w:rPr>
              <w:br/>
            </w:r>
            <w:r>
              <w:rPr>
                <w:szCs w:val="28"/>
              </w:rPr>
              <w:lastRenderedPageBreak/>
              <w:t>163887929,93</w:t>
            </w:r>
            <w:r w:rsidRPr="00BC2412">
              <w:rPr>
                <w:szCs w:val="28"/>
              </w:rPr>
              <w:t xml:space="preserve"> гривень, зокрема,</w:t>
            </w:r>
            <w:r>
              <w:t xml:space="preserve"> 1945 осіб</w:t>
            </w:r>
            <w:r w:rsidRPr="00BC2412">
              <w:t xml:space="preserve"> – п</w:t>
            </w:r>
            <w:r>
              <w:t>ротезно-ортопедичні вироби; 2222 осіби</w:t>
            </w:r>
            <w:r w:rsidRPr="00BC2412">
              <w:t xml:space="preserve"> </w:t>
            </w:r>
            <w:r>
              <w:t>– протези молочної залози; 7424 особи – ортопедичне взуття; 841 осо</w:t>
            </w:r>
            <w:r w:rsidRPr="00BC2412">
              <w:t>б</w:t>
            </w:r>
            <w:r>
              <w:t>а</w:t>
            </w:r>
            <w:r w:rsidRPr="00BC2412">
              <w:t xml:space="preserve"> – </w:t>
            </w:r>
            <w:r w:rsidRPr="00BC2412">
              <w:rPr>
                <w:szCs w:val="28"/>
              </w:rPr>
              <w:t>засоби для пересування (крісла колісні)</w:t>
            </w:r>
            <w:r>
              <w:rPr>
                <w:szCs w:val="28"/>
              </w:rPr>
              <w:t>;  855</w:t>
            </w:r>
            <w:r w:rsidRPr="00BC2412">
              <w:rPr>
                <w:szCs w:val="28"/>
              </w:rPr>
              <w:t xml:space="preserve"> осіб – засоб</w:t>
            </w:r>
            <w:r>
              <w:rPr>
                <w:szCs w:val="28"/>
              </w:rPr>
              <w:t>и для реабілітації; 235 осіб</w:t>
            </w:r>
            <w:r w:rsidRPr="00BC2412">
              <w:rPr>
                <w:szCs w:val="28"/>
              </w:rPr>
              <w:t xml:space="preserve"> – спеціа</w:t>
            </w:r>
            <w:r>
              <w:rPr>
                <w:szCs w:val="28"/>
              </w:rPr>
              <w:t>льні засоби для реабілітації; 122 осо</w:t>
            </w:r>
            <w:r w:rsidRPr="00BC2412">
              <w:rPr>
                <w:szCs w:val="28"/>
              </w:rPr>
              <w:t>б</w:t>
            </w:r>
            <w:r>
              <w:rPr>
                <w:szCs w:val="28"/>
              </w:rPr>
              <w:t>и</w:t>
            </w:r>
            <w:r w:rsidRPr="00BC2412">
              <w:rPr>
                <w:szCs w:val="28"/>
              </w:rPr>
              <w:t xml:space="preserve"> – ремонт доп</w:t>
            </w:r>
            <w:r>
              <w:rPr>
                <w:szCs w:val="28"/>
              </w:rPr>
              <w:t xml:space="preserve">оміжних засобів реабілітації; </w:t>
            </w:r>
            <w:r>
              <w:rPr>
                <w:szCs w:val="28"/>
              </w:rPr>
              <w:br/>
              <w:t>1 осо</w:t>
            </w:r>
            <w:r w:rsidRPr="00BC2412">
              <w:rPr>
                <w:szCs w:val="28"/>
              </w:rPr>
              <w:t>б</w:t>
            </w:r>
            <w:r>
              <w:rPr>
                <w:szCs w:val="28"/>
              </w:rPr>
              <w:t>а</w:t>
            </w:r>
            <w:r w:rsidRPr="00BC2412">
              <w:rPr>
                <w:szCs w:val="28"/>
              </w:rPr>
              <w:t xml:space="preserve"> – компенсація за самостійно придбан</w:t>
            </w:r>
            <w:r>
              <w:rPr>
                <w:szCs w:val="28"/>
              </w:rPr>
              <w:t>і допоміжні засоби реабілітації (ортез);</w:t>
            </w:r>
          </w:p>
          <w:p w:rsidR="005D249D" w:rsidRDefault="005D249D" w:rsidP="00170F8C">
            <w:pPr>
              <w:ind w:right="38"/>
              <w:jc w:val="both"/>
              <w:rPr>
                <w:szCs w:val="28"/>
              </w:rPr>
            </w:pPr>
            <w:r>
              <w:rPr>
                <w:szCs w:val="28"/>
              </w:rPr>
              <w:t>2 осо</w:t>
            </w:r>
            <w:r w:rsidRPr="00BC2412">
              <w:rPr>
                <w:szCs w:val="28"/>
              </w:rPr>
              <w:t>б</w:t>
            </w:r>
            <w:r>
              <w:rPr>
                <w:szCs w:val="28"/>
              </w:rPr>
              <w:t>и</w:t>
            </w:r>
            <w:r w:rsidRPr="00BC2412">
              <w:rPr>
                <w:szCs w:val="28"/>
              </w:rPr>
              <w:t xml:space="preserve"> – компенсація за самостійно придбан</w:t>
            </w:r>
            <w:r>
              <w:rPr>
                <w:szCs w:val="28"/>
              </w:rPr>
              <w:t xml:space="preserve">і допоміжні засоби реабілітації (акумулятори) та 42  особи </w:t>
            </w:r>
            <w:r w:rsidRPr="00BC2412">
              <w:rPr>
                <w:szCs w:val="28"/>
              </w:rPr>
              <w:t>– компенсація за самостійно придбан</w:t>
            </w:r>
            <w:r>
              <w:rPr>
                <w:szCs w:val="28"/>
              </w:rPr>
              <w:t>і допоміжні засоби реабілітації.</w:t>
            </w:r>
          </w:p>
          <w:p w:rsidR="005D249D" w:rsidRPr="00BC2412" w:rsidRDefault="005D249D" w:rsidP="00BC2253">
            <w:pPr>
              <w:ind w:right="38" w:firstLine="227"/>
              <w:jc w:val="both"/>
              <w:rPr>
                <w:szCs w:val="28"/>
              </w:rPr>
            </w:pPr>
            <w:r>
              <w:rPr>
                <w:szCs w:val="28"/>
              </w:rPr>
              <w:t>Станом на 13.12.2024 року за результатами проведеного Фондом моніторингу та претензійно-позовної роботи, за невиконання 4% нормативу по працевлаштуванню осіб з інвалідністю, роботодавцями перераховано до державного бюджету адміністративно господарські санкції на суму 7,1 млн.гривень.</w:t>
            </w:r>
          </w:p>
          <w:p w:rsidR="005D249D" w:rsidRDefault="005D249D" w:rsidP="00BC2253">
            <w:pPr>
              <w:ind w:firstLine="227"/>
            </w:pPr>
          </w:p>
        </w:tc>
      </w:tr>
      <w:tr w:rsidR="00B0089F" w:rsidTr="00654D59">
        <w:tc>
          <w:tcPr>
            <w:tcW w:w="5762" w:type="dxa"/>
          </w:tcPr>
          <w:p w:rsidR="00B0089F" w:rsidRDefault="00B0089F" w:rsidP="00B0089F">
            <w:pPr>
              <w:ind w:right="38"/>
              <w:jc w:val="both"/>
              <w:rPr>
                <w:b/>
                <w:color w:val="000000"/>
                <w:szCs w:val="28"/>
              </w:rPr>
            </w:pPr>
            <w:r>
              <w:rPr>
                <w:szCs w:val="28"/>
              </w:rPr>
              <w:lastRenderedPageBreak/>
              <w:t>М</w:t>
            </w:r>
            <w:r w:rsidRPr="00AF043B">
              <w:rPr>
                <w:szCs w:val="28"/>
              </w:rPr>
              <w:t>оніторинг</w:t>
            </w:r>
            <w:r w:rsidRPr="00AF043B">
              <w:rPr>
                <w:color w:val="000000"/>
                <w:szCs w:val="28"/>
              </w:rPr>
              <w:t xml:space="preserve"> обстеження та оцінки ступеня безбар’єрності об’єктів фізичного оточення і послуг для осіб з інвалідністю на території області</w:t>
            </w:r>
            <w:r>
              <w:rPr>
                <w:b/>
                <w:color w:val="000000"/>
                <w:szCs w:val="28"/>
              </w:rPr>
              <w:t>.</w:t>
            </w:r>
            <w:r w:rsidRPr="00AF14DA">
              <w:rPr>
                <w:b/>
                <w:color w:val="000000"/>
                <w:szCs w:val="28"/>
              </w:rPr>
              <w:t xml:space="preserve">  </w:t>
            </w:r>
          </w:p>
          <w:p w:rsidR="00B0089F" w:rsidRPr="00FF4916" w:rsidRDefault="00B0089F" w:rsidP="007E2B1D"/>
        </w:tc>
        <w:tc>
          <w:tcPr>
            <w:tcW w:w="9080" w:type="dxa"/>
          </w:tcPr>
          <w:p w:rsidR="00B0089F" w:rsidRPr="008840C5" w:rsidRDefault="00B0089F" w:rsidP="00B0089F">
            <w:pPr>
              <w:ind w:right="38" w:firstLine="268"/>
              <w:jc w:val="both"/>
              <w:rPr>
                <w:color w:val="000000"/>
                <w:szCs w:val="28"/>
              </w:rPr>
            </w:pPr>
            <w:r w:rsidRPr="008840C5">
              <w:rPr>
                <w:szCs w:val="28"/>
              </w:rPr>
              <w:t>Управління містобудування та архітектури департаменту</w:t>
            </w:r>
            <w:r w:rsidRPr="008840C5">
              <w:rPr>
                <w:color w:val="000000"/>
                <w:szCs w:val="28"/>
              </w:rPr>
              <w:t xml:space="preserve"> відповідно до інформації наданої місцевими органами з питань містобудування та архітектури впродовж звітного періоду</w:t>
            </w:r>
            <w:r w:rsidRPr="008840C5">
              <w:rPr>
                <w:szCs w:val="28"/>
              </w:rPr>
              <w:t xml:space="preserve"> здійснювало моніторинг</w:t>
            </w:r>
            <w:r w:rsidRPr="008840C5">
              <w:rPr>
                <w:color w:val="000000"/>
                <w:szCs w:val="28"/>
              </w:rPr>
              <w:t xml:space="preserve"> обстеження та оцінки ступеня безбар’єрності об’єктів фізичного оточення і послуг для осіб з інвалідністю на території області.  </w:t>
            </w:r>
          </w:p>
          <w:p w:rsidR="0088347C" w:rsidRDefault="00B0089F" w:rsidP="00B0089F">
            <w:pPr>
              <w:ind w:right="38" w:firstLine="268"/>
              <w:jc w:val="both"/>
              <w:rPr>
                <w:szCs w:val="28"/>
              </w:rPr>
            </w:pPr>
            <w:r w:rsidRPr="008840C5">
              <w:rPr>
                <w:iCs/>
                <w:szCs w:val="28"/>
              </w:rPr>
              <w:t xml:space="preserve">Впродовж звітного періоду обстежено </w:t>
            </w:r>
            <w:r>
              <w:rPr>
                <w:szCs w:val="28"/>
              </w:rPr>
              <w:t>2721</w:t>
            </w:r>
            <w:r>
              <w:rPr>
                <w:iCs/>
                <w:szCs w:val="28"/>
              </w:rPr>
              <w:t xml:space="preserve"> об'єкт</w:t>
            </w:r>
            <w:r w:rsidR="00FF5BE7">
              <w:rPr>
                <w:iCs/>
                <w:szCs w:val="28"/>
              </w:rPr>
              <w:t>и</w:t>
            </w:r>
            <w:r w:rsidRPr="008840C5">
              <w:rPr>
                <w:iCs/>
                <w:szCs w:val="28"/>
              </w:rPr>
              <w:t xml:space="preserve"> </w:t>
            </w:r>
            <w:r w:rsidRPr="008840C5">
              <w:rPr>
                <w:szCs w:val="28"/>
              </w:rPr>
              <w:t>фізичного оточення для осіб з інвалідністю та інших маломобільних груп населення, а саме: будівлі для розміщення евакуйованих осіб (гуртожитки, тощо); адміністративні будівлі; будівлі надавачів соціальних послуг; центри зайнятості; фінансові установи (банки, поштові відділення, страхові компанії, недержавні пенсійні фонди, інвестиці</w:t>
            </w:r>
            <w:r w:rsidR="0088347C">
              <w:rPr>
                <w:szCs w:val="28"/>
              </w:rPr>
              <w:t>йні фонди), з яких є безбар</w:t>
            </w:r>
            <w:r w:rsidR="0088347C" w:rsidRPr="0088347C">
              <w:rPr>
                <w:szCs w:val="28"/>
              </w:rPr>
              <w:t>’</w:t>
            </w:r>
            <w:r w:rsidR="0088347C">
              <w:rPr>
                <w:szCs w:val="28"/>
              </w:rPr>
              <w:t>єрними – 22,5 %.</w:t>
            </w:r>
          </w:p>
          <w:p w:rsidR="00B0089F" w:rsidRDefault="00B0089F" w:rsidP="00B0089F">
            <w:pPr>
              <w:ind w:right="38" w:firstLine="268"/>
              <w:jc w:val="both"/>
              <w:rPr>
                <w:szCs w:val="28"/>
              </w:rPr>
            </w:pPr>
            <w:r w:rsidRPr="008840C5">
              <w:rPr>
                <w:szCs w:val="28"/>
              </w:rPr>
              <w:t xml:space="preserve"> Результати </w:t>
            </w:r>
            <w:r>
              <w:rPr>
                <w:szCs w:val="28"/>
              </w:rPr>
              <w:t>моніторингу наведено у таблиці:</w:t>
            </w:r>
          </w:p>
          <w:p w:rsidR="00C36685" w:rsidRDefault="00C36685" w:rsidP="00B0089F">
            <w:pPr>
              <w:ind w:right="38" w:firstLine="268"/>
              <w:jc w:val="both"/>
              <w:rPr>
                <w:szCs w:val="28"/>
              </w:rPr>
            </w:pPr>
          </w:p>
          <w:p w:rsidR="00C36685" w:rsidRDefault="00C36685" w:rsidP="00B0089F">
            <w:pPr>
              <w:ind w:right="38" w:firstLine="268"/>
              <w:jc w:val="both"/>
              <w:rPr>
                <w:szCs w:val="28"/>
              </w:rPr>
            </w:pPr>
          </w:p>
          <w:tbl>
            <w:tblPr>
              <w:tblStyle w:val="a3"/>
              <w:tblW w:w="0" w:type="auto"/>
              <w:tblLayout w:type="fixed"/>
              <w:tblLook w:val="01E0"/>
            </w:tblPr>
            <w:tblGrid>
              <w:gridCol w:w="2072"/>
              <w:gridCol w:w="1467"/>
              <w:gridCol w:w="1770"/>
              <w:gridCol w:w="1040"/>
              <w:gridCol w:w="1400"/>
              <w:gridCol w:w="1100"/>
            </w:tblGrid>
            <w:tr w:rsidR="00B0089F" w:rsidTr="00B0089F">
              <w:trPr>
                <w:trHeight w:val="260"/>
              </w:trPr>
              <w:tc>
                <w:tcPr>
                  <w:tcW w:w="2072" w:type="dxa"/>
                  <w:vMerge w:val="restart"/>
                </w:tcPr>
                <w:p w:rsidR="00B0089F" w:rsidRPr="007C12A7" w:rsidRDefault="00B0089F" w:rsidP="00C36685">
                  <w:pPr>
                    <w:ind w:right="38"/>
                    <w:jc w:val="center"/>
                    <w:rPr>
                      <w:szCs w:val="28"/>
                    </w:rPr>
                  </w:pPr>
                  <w:r w:rsidRPr="0088347C">
                    <w:rPr>
                      <w:lang w:val="ru-RU"/>
                    </w:rPr>
                    <w:t>Результати моніторингу</w:t>
                  </w:r>
                </w:p>
              </w:tc>
              <w:tc>
                <w:tcPr>
                  <w:tcW w:w="1467" w:type="dxa"/>
                  <w:vMerge w:val="restart"/>
                </w:tcPr>
                <w:p w:rsidR="00B0089F" w:rsidRPr="007C12A7" w:rsidRDefault="00B0089F" w:rsidP="00C36685">
                  <w:pPr>
                    <w:ind w:right="38"/>
                    <w:jc w:val="center"/>
                    <w:rPr>
                      <w:szCs w:val="28"/>
                    </w:rPr>
                  </w:pPr>
                  <w:r w:rsidRPr="0088347C">
                    <w:rPr>
                      <w:lang w:val="ru-RU"/>
                    </w:rPr>
                    <w:t>Загальна кількість об’єктів</w:t>
                  </w:r>
                </w:p>
              </w:tc>
              <w:tc>
                <w:tcPr>
                  <w:tcW w:w="1770" w:type="dxa"/>
                  <w:vMerge w:val="restart"/>
                </w:tcPr>
                <w:p w:rsidR="00B0089F" w:rsidRPr="007C12A7" w:rsidRDefault="00B0089F" w:rsidP="00C36685">
                  <w:pPr>
                    <w:ind w:right="38"/>
                    <w:jc w:val="center"/>
                    <w:rPr>
                      <w:szCs w:val="28"/>
                    </w:rPr>
                  </w:pPr>
                  <w:r w:rsidRPr="0088347C">
                    <w:rPr>
                      <w:lang w:val="ru-RU"/>
                    </w:rPr>
                    <w:t>Кількість об’єктів, що обстежено</w:t>
                  </w:r>
                </w:p>
              </w:tc>
              <w:tc>
                <w:tcPr>
                  <w:tcW w:w="3540" w:type="dxa"/>
                  <w:gridSpan w:val="3"/>
                </w:tcPr>
                <w:p w:rsidR="00B0089F" w:rsidRPr="007C12A7" w:rsidRDefault="00B0089F" w:rsidP="00C36685">
                  <w:pPr>
                    <w:ind w:right="38"/>
                    <w:jc w:val="center"/>
                    <w:rPr>
                      <w:szCs w:val="28"/>
                    </w:rPr>
                  </w:pPr>
                  <w:r w:rsidRPr="00116C4C">
                    <w:t>Оцінка безбар’єрності об’єктів фізичного оточення і послуг для осіб з інвалідністю, відсотків</w:t>
                  </w:r>
                </w:p>
              </w:tc>
            </w:tr>
            <w:tr w:rsidR="00B0089F" w:rsidTr="00B0089F">
              <w:trPr>
                <w:trHeight w:val="560"/>
              </w:trPr>
              <w:tc>
                <w:tcPr>
                  <w:tcW w:w="2072" w:type="dxa"/>
                  <w:vMerge/>
                </w:tcPr>
                <w:p w:rsidR="00B0089F" w:rsidRPr="00116C4C" w:rsidRDefault="00B0089F" w:rsidP="00C36685">
                  <w:pPr>
                    <w:ind w:right="38"/>
                    <w:jc w:val="both"/>
                    <w:rPr>
                      <w:b/>
                    </w:rPr>
                  </w:pPr>
                </w:p>
              </w:tc>
              <w:tc>
                <w:tcPr>
                  <w:tcW w:w="1467" w:type="dxa"/>
                  <w:vMerge/>
                </w:tcPr>
                <w:p w:rsidR="00B0089F" w:rsidRPr="00116C4C" w:rsidRDefault="00B0089F" w:rsidP="00C36685">
                  <w:pPr>
                    <w:ind w:right="38"/>
                    <w:jc w:val="both"/>
                    <w:rPr>
                      <w:b/>
                    </w:rPr>
                  </w:pPr>
                </w:p>
              </w:tc>
              <w:tc>
                <w:tcPr>
                  <w:tcW w:w="1770" w:type="dxa"/>
                  <w:vMerge/>
                </w:tcPr>
                <w:p w:rsidR="00B0089F" w:rsidRPr="00116C4C" w:rsidRDefault="00B0089F" w:rsidP="00C36685">
                  <w:pPr>
                    <w:ind w:right="38"/>
                    <w:jc w:val="both"/>
                    <w:rPr>
                      <w:b/>
                    </w:rPr>
                  </w:pPr>
                </w:p>
              </w:tc>
              <w:tc>
                <w:tcPr>
                  <w:tcW w:w="1040" w:type="dxa"/>
                </w:tcPr>
                <w:p w:rsidR="00B0089F" w:rsidRPr="007C12A7" w:rsidRDefault="00B0089F" w:rsidP="00C36685">
                  <w:pPr>
                    <w:pStyle w:val="a7"/>
                    <w:spacing w:line="228" w:lineRule="auto"/>
                    <w:ind w:left="-107" w:right="-83" w:firstLine="0"/>
                    <w:jc w:val="center"/>
                    <w:rPr>
                      <w:rFonts w:ascii="Times New Roman" w:hAnsi="Times New Roman"/>
                      <w:noProof/>
                      <w:sz w:val="24"/>
                      <w:szCs w:val="24"/>
                      <w:lang w:val="en-AU"/>
                    </w:rPr>
                  </w:pPr>
                  <w:r w:rsidRPr="007C12A7">
                    <w:rPr>
                      <w:rFonts w:ascii="Times New Roman" w:hAnsi="Times New Roman"/>
                      <w:noProof/>
                      <w:sz w:val="24"/>
                      <w:szCs w:val="24"/>
                      <w:lang w:val="en-AU"/>
                    </w:rPr>
                    <w:t>безбар’єрні</w:t>
                  </w:r>
                </w:p>
              </w:tc>
              <w:tc>
                <w:tcPr>
                  <w:tcW w:w="1400" w:type="dxa"/>
                </w:tcPr>
                <w:p w:rsidR="00B0089F" w:rsidRPr="007C12A7" w:rsidRDefault="00B0089F" w:rsidP="00C36685">
                  <w:pPr>
                    <w:pStyle w:val="a7"/>
                    <w:spacing w:line="228" w:lineRule="auto"/>
                    <w:ind w:left="-107" w:right="-83" w:firstLine="0"/>
                    <w:jc w:val="center"/>
                    <w:rPr>
                      <w:rFonts w:ascii="Times New Roman" w:hAnsi="Times New Roman"/>
                      <w:noProof/>
                      <w:sz w:val="24"/>
                      <w:szCs w:val="24"/>
                      <w:lang w:val="en-AU"/>
                    </w:rPr>
                  </w:pPr>
                  <w:r w:rsidRPr="007C12A7">
                    <w:rPr>
                      <w:rFonts w:ascii="Times New Roman" w:hAnsi="Times New Roman"/>
                      <w:noProof/>
                      <w:sz w:val="24"/>
                      <w:szCs w:val="24"/>
                      <w:lang w:val="en-AU"/>
                    </w:rPr>
                    <w:t>частково безбар’єрні</w:t>
                  </w:r>
                </w:p>
              </w:tc>
              <w:tc>
                <w:tcPr>
                  <w:tcW w:w="1100" w:type="dxa"/>
                </w:tcPr>
                <w:p w:rsidR="00B0089F" w:rsidRPr="007C12A7" w:rsidRDefault="00B0089F" w:rsidP="00C36685">
                  <w:pPr>
                    <w:pStyle w:val="a7"/>
                    <w:spacing w:line="228" w:lineRule="auto"/>
                    <w:ind w:left="-107" w:right="-83" w:firstLine="0"/>
                    <w:jc w:val="center"/>
                    <w:rPr>
                      <w:rFonts w:ascii="Times New Roman" w:hAnsi="Times New Roman"/>
                      <w:noProof/>
                      <w:sz w:val="24"/>
                      <w:szCs w:val="24"/>
                      <w:lang w:val="en-AU"/>
                    </w:rPr>
                  </w:pPr>
                  <w:r w:rsidRPr="007C12A7">
                    <w:rPr>
                      <w:rFonts w:ascii="Times New Roman" w:hAnsi="Times New Roman"/>
                      <w:noProof/>
                      <w:sz w:val="24"/>
                      <w:szCs w:val="24"/>
                      <w:lang w:val="en-AU"/>
                    </w:rPr>
                    <w:t>бар’єрні</w:t>
                  </w:r>
                </w:p>
              </w:tc>
            </w:tr>
            <w:tr w:rsidR="00B0089F" w:rsidTr="00B0089F">
              <w:trPr>
                <w:trHeight w:val="560"/>
              </w:trPr>
              <w:tc>
                <w:tcPr>
                  <w:tcW w:w="2072" w:type="dxa"/>
                </w:tcPr>
                <w:p w:rsidR="00B0089F" w:rsidRPr="0010661E" w:rsidRDefault="00B0089F" w:rsidP="00C36685">
                  <w:pPr>
                    <w:pStyle w:val="a7"/>
                    <w:spacing w:line="228" w:lineRule="auto"/>
                    <w:ind w:firstLine="0"/>
                    <w:rPr>
                      <w:rFonts w:ascii="Times New Roman" w:hAnsi="Times New Roman"/>
                      <w:noProof/>
                      <w:sz w:val="24"/>
                      <w:szCs w:val="24"/>
                    </w:rPr>
                  </w:pPr>
                  <w:r w:rsidRPr="0010661E">
                    <w:rPr>
                      <w:rFonts w:ascii="Times New Roman" w:hAnsi="Times New Roman"/>
                      <w:noProof/>
                      <w:sz w:val="24"/>
                      <w:szCs w:val="24"/>
                    </w:rPr>
                    <w:t>Загалом об’єкти, що обстежено</w:t>
                  </w:r>
                </w:p>
              </w:tc>
              <w:tc>
                <w:tcPr>
                  <w:tcW w:w="1467" w:type="dxa"/>
                </w:tcPr>
                <w:p w:rsidR="00B0089F" w:rsidRPr="00C36685" w:rsidRDefault="00B0089F" w:rsidP="00C36685">
                  <w:pPr>
                    <w:pStyle w:val="a7"/>
                    <w:spacing w:line="228" w:lineRule="auto"/>
                    <w:ind w:firstLine="0"/>
                    <w:rPr>
                      <w:rFonts w:ascii="Times New Roman" w:hAnsi="Times New Roman"/>
                      <w:b/>
                      <w:noProof/>
                      <w:sz w:val="24"/>
                      <w:szCs w:val="24"/>
                    </w:rPr>
                  </w:pPr>
                  <w:r w:rsidRPr="00C36685">
                    <w:rPr>
                      <w:rFonts w:ascii="Times New Roman" w:hAnsi="Times New Roman"/>
                      <w:b/>
                      <w:noProof/>
                      <w:sz w:val="24"/>
                      <w:szCs w:val="24"/>
                    </w:rPr>
                    <w:t>2937</w:t>
                  </w:r>
                </w:p>
              </w:tc>
              <w:tc>
                <w:tcPr>
                  <w:tcW w:w="1770" w:type="dxa"/>
                </w:tcPr>
                <w:p w:rsidR="00B0089F" w:rsidRPr="00C36685" w:rsidRDefault="00B0089F" w:rsidP="00C36685">
                  <w:pPr>
                    <w:pStyle w:val="a7"/>
                    <w:spacing w:line="228" w:lineRule="auto"/>
                    <w:ind w:firstLine="0"/>
                    <w:rPr>
                      <w:rFonts w:ascii="Times New Roman" w:hAnsi="Times New Roman"/>
                      <w:b/>
                      <w:noProof/>
                      <w:sz w:val="24"/>
                      <w:szCs w:val="24"/>
                    </w:rPr>
                  </w:pPr>
                  <w:r w:rsidRPr="00C36685">
                    <w:rPr>
                      <w:rFonts w:ascii="Times New Roman" w:hAnsi="Times New Roman"/>
                      <w:b/>
                      <w:noProof/>
                      <w:sz w:val="24"/>
                      <w:szCs w:val="24"/>
                    </w:rPr>
                    <w:t>2721</w:t>
                  </w:r>
                </w:p>
              </w:tc>
              <w:tc>
                <w:tcPr>
                  <w:tcW w:w="1040" w:type="dxa"/>
                </w:tcPr>
                <w:p w:rsidR="00B0089F" w:rsidRPr="0010661E" w:rsidRDefault="00B0089F" w:rsidP="00C36685">
                  <w:pPr>
                    <w:pStyle w:val="a7"/>
                    <w:spacing w:line="228" w:lineRule="auto"/>
                    <w:ind w:firstLine="0"/>
                    <w:rPr>
                      <w:rFonts w:ascii="Times New Roman" w:hAnsi="Times New Roman"/>
                      <w:noProof/>
                      <w:sz w:val="24"/>
                      <w:szCs w:val="24"/>
                    </w:rPr>
                  </w:pPr>
                  <w:r w:rsidRPr="0010661E">
                    <w:rPr>
                      <w:rFonts w:ascii="Times New Roman" w:hAnsi="Times New Roman"/>
                      <w:noProof/>
                      <w:sz w:val="24"/>
                      <w:szCs w:val="24"/>
                    </w:rPr>
                    <w:t>22,5%</w:t>
                  </w:r>
                </w:p>
              </w:tc>
              <w:tc>
                <w:tcPr>
                  <w:tcW w:w="1400" w:type="dxa"/>
                </w:tcPr>
                <w:p w:rsidR="00B0089F" w:rsidRPr="0010661E" w:rsidRDefault="00B0089F" w:rsidP="00C36685">
                  <w:pPr>
                    <w:pStyle w:val="a7"/>
                    <w:spacing w:line="228" w:lineRule="auto"/>
                    <w:ind w:firstLine="0"/>
                    <w:rPr>
                      <w:rFonts w:ascii="Times New Roman" w:hAnsi="Times New Roman"/>
                      <w:noProof/>
                      <w:sz w:val="24"/>
                      <w:szCs w:val="24"/>
                    </w:rPr>
                  </w:pPr>
                  <w:r w:rsidRPr="0010661E">
                    <w:rPr>
                      <w:rFonts w:ascii="Times New Roman" w:hAnsi="Times New Roman"/>
                      <w:noProof/>
                      <w:sz w:val="24"/>
                      <w:szCs w:val="24"/>
                    </w:rPr>
                    <w:t>31,7%</w:t>
                  </w:r>
                </w:p>
              </w:tc>
              <w:tc>
                <w:tcPr>
                  <w:tcW w:w="1100" w:type="dxa"/>
                </w:tcPr>
                <w:p w:rsidR="00B0089F" w:rsidRPr="0010661E" w:rsidRDefault="00B0089F" w:rsidP="00C36685">
                  <w:pPr>
                    <w:pStyle w:val="a7"/>
                    <w:spacing w:line="228" w:lineRule="auto"/>
                    <w:ind w:firstLine="0"/>
                    <w:rPr>
                      <w:rFonts w:ascii="Times New Roman" w:hAnsi="Times New Roman"/>
                      <w:noProof/>
                      <w:sz w:val="24"/>
                      <w:szCs w:val="24"/>
                    </w:rPr>
                  </w:pPr>
                  <w:r w:rsidRPr="0010661E">
                    <w:rPr>
                      <w:rFonts w:ascii="Times New Roman" w:hAnsi="Times New Roman"/>
                      <w:noProof/>
                      <w:sz w:val="24"/>
                      <w:szCs w:val="24"/>
                    </w:rPr>
                    <w:t>45,8%</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en-AU"/>
                    </w:rPr>
                  </w:pPr>
                  <w:r w:rsidRPr="007B235D">
                    <w:rPr>
                      <w:rFonts w:ascii="Times New Roman" w:hAnsi="Times New Roman"/>
                      <w:noProof/>
                      <w:sz w:val="24"/>
                      <w:szCs w:val="24"/>
                      <w:lang w:val="en-AU"/>
                    </w:rPr>
                    <w:t>з них:</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en-AU"/>
                    </w:rPr>
                  </w:pP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en-AU"/>
                    </w:rPr>
                  </w:pP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en-AU"/>
                    </w:rPr>
                  </w:pP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en-AU"/>
                    </w:rPr>
                  </w:pP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en-AU"/>
                    </w:rPr>
                  </w:pP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lang w:val="ru-RU"/>
                    </w:rPr>
                    <w:lastRenderedPageBreak/>
                    <w:t>Безбар’єрні маршрути, в т.ч.</w:t>
                  </w:r>
                  <w:r w:rsidRPr="007B235D">
                    <w:rPr>
                      <w:rFonts w:ascii="Times New Roman" w:hAnsi="Times New Roman"/>
                      <w:noProof/>
                      <w:sz w:val="24"/>
                      <w:szCs w:val="24"/>
                    </w:rPr>
                    <w:t>:</w:t>
                  </w:r>
                </w:p>
              </w:tc>
              <w:tc>
                <w:tcPr>
                  <w:tcW w:w="1467" w:type="dxa"/>
                </w:tcPr>
                <w:p w:rsidR="00B0089F" w:rsidRPr="000B5D21" w:rsidRDefault="00B0089F" w:rsidP="00C36685">
                  <w:pPr>
                    <w:pStyle w:val="a7"/>
                    <w:spacing w:line="228" w:lineRule="auto"/>
                    <w:ind w:firstLine="0"/>
                    <w:rPr>
                      <w:rFonts w:ascii="Times New Roman" w:hAnsi="Times New Roman"/>
                      <w:b/>
                      <w:noProof/>
                      <w:sz w:val="24"/>
                      <w:szCs w:val="24"/>
                      <w:lang w:val="ru-RU"/>
                    </w:rPr>
                  </w:pPr>
                  <w:r w:rsidRPr="000B5D21">
                    <w:rPr>
                      <w:rFonts w:ascii="Times New Roman" w:hAnsi="Times New Roman"/>
                      <w:b/>
                      <w:noProof/>
                      <w:sz w:val="24"/>
                      <w:szCs w:val="24"/>
                      <w:lang w:val="ru-RU"/>
                    </w:rPr>
                    <w:t>846</w:t>
                  </w:r>
                </w:p>
              </w:tc>
              <w:tc>
                <w:tcPr>
                  <w:tcW w:w="1770" w:type="dxa"/>
                </w:tcPr>
                <w:p w:rsidR="00B0089F" w:rsidRPr="000B5D21" w:rsidRDefault="00B0089F" w:rsidP="00C36685">
                  <w:pPr>
                    <w:pStyle w:val="a7"/>
                    <w:spacing w:line="228" w:lineRule="auto"/>
                    <w:ind w:firstLine="0"/>
                    <w:rPr>
                      <w:rFonts w:ascii="Times New Roman" w:hAnsi="Times New Roman"/>
                      <w:b/>
                      <w:noProof/>
                      <w:sz w:val="24"/>
                      <w:szCs w:val="24"/>
                      <w:lang w:val="ru-RU"/>
                    </w:rPr>
                  </w:pPr>
                  <w:r w:rsidRPr="000B5D21">
                    <w:rPr>
                      <w:rFonts w:ascii="Times New Roman" w:hAnsi="Times New Roman"/>
                      <w:b/>
                      <w:noProof/>
                      <w:sz w:val="24"/>
                      <w:szCs w:val="24"/>
                      <w:lang w:val="ru-RU"/>
                    </w:rPr>
                    <w:t>797</w:t>
                  </w:r>
                </w:p>
              </w:tc>
              <w:tc>
                <w:tcPr>
                  <w:tcW w:w="1040" w:type="dxa"/>
                </w:tcPr>
                <w:p w:rsidR="00B0089F" w:rsidRPr="00A07045" w:rsidRDefault="00B0089F" w:rsidP="00C36685">
                  <w:pPr>
                    <w:pStyle w:val="a7"/>
                    <w:spacing w:line="228" w:lineRule="auto"/>
                    <w:ind w:firstLine="0"/>
                    <w:rPr>
                      <w:rFonts w:ascii="Times New Roman" w:hAnsi="Times New Roman"/>
                      <w:noProof/>
                      <w:sz w:val="24"/>
                      <w:szCs w:val="24"/>
                      <w:lang w:val="ru-RU"/>
                    </w:rPr>
                  </w:pPr>
                  <w:r w:rsidRPr="00A07045">
                    <w:rPr>
                      <w:rFonts w:ascii="Times New Roman" w:hAnsi="Times New Roman"/>
                      <w:noProof/>
                      <w:sz w:val="24"/>
                      <w:szCs w:val="24"/>
                      <w:lang w:val="ru-RU"/>
                    </w:rPr>
                    <w:t>18,2%</w:t>
                  </w:r>
                </w:p>
              </w:tc>
              <w:tc>
                <w:tcPr>
                  <w:tcW w:w="1400" w:type="dxa"/>
                </w:tcPr>
                <w:p w:rsidR="00B0089F" w:rsidRPr="00A07045" w:rsidRDefault="00B0089F" w:rsidP="00C36685">
                  <w:pPr>
                    <w:pStyle w:val="a7"/>
                    <w:spacing w:line="228" w:lineRule="auto"/>
                    <w:ind w:firstLine="0"/>
                    <w:rPr>
                      <w:rFonts w:ascii="Times New Roman" w:hAnsi="Times New Roman"/>
                      <w:noProof/>
                      <w:sz w:val="24"/>
                      <w:szCs w:val="24"/>
                      <w:lang w:val="ru-RU"/>
                    </w:rPr>
                  </w:pPr>
                  <w:r w:rsidRPr="00A07045">
                    <w:rPr>
                      <w:rFonts w:ascii="Times New Roman" w:hAnsi="Times New Roman"/>
                      <w:noProof/>
                      <w:sz w:val="24"/>
                      <w:szCs w:val="24"/>
                      <w:lang w:val="ru-RU"/>
                    </w:rPr>
                    <w:t>22%</w:t>
                  </w:r>
                </w:p>
              </w:tc>
              <w:tc>
                <w:tcPr>
                  <w:tcW w:w="1100" w:type="dxa"/>
                </w:tcPr>
                <w:p w:rsidR="00B0089F" w:rsidRPr="00A07045" w:rsidRDefault="00B0089F" w:rsidP="00C36685">
                  <w:pPr>
                    <w:pStyle w:val="a7"/>
                    <w:spacing w:line="228" w:lineRule="auto"/>
                    <w:ind w:firstLine="0"/>
                    <w:rPr>
                      <w:rFonts w:ascii="Times New Roman" w:hAnsi="Times New Roman"/>
                      <w:noProof/>
                      <w:sz w:val="24"/>
                      <w:szCs w:val="24"/>
                      <w:lang w:val="ru-RU"/>
                    </w:rPr>
                  </w:pPr>
                  <w:r w:rsidRPr="00A07045">
                    <w:rPr>
                      <w:rFonts w:ascii="Times New Roman" w:hAnsi="Times New Roman"/>
                      <w:noProof/>
                      <w:sz w:val="24"/>
                      <w:szCs w:val="24"/>
                      <w:lang w:val="ru-RU"/>
                    </w:rPr>
                    <w:t>59,8%</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пішохідні шляхи руху на центральних вулицях населених пунктів</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390</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373</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11,6%</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19,8%</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68,6%</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зупинки громадського транспорту</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370</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341</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24,6%</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24,1%</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51,3%</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пішохідні шляхи руху, що ведуть від зупинок громадського транспорту до закладу охорони здоров’я</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86</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83</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21,7%</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22,9%</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55,4%</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Споруди цивільного захисту</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800</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759</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9,4%</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22,7%</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67,9%</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Заклади охорони здоров’я, в т.ч.:</w:t>
                  </w:r>
                </w:p>
              </w:tc>
              <w:tc>
                <w:tcPr>
                  <w:tcW w:w="1467" w:type="dxa"/>
                </w:tcPr>
                <w:p w:rsidR="00B0089F" w:rsidRPr="00FD0A19" w:rsidRDefault="00B0089F" w:rsidP="00C36685">
                  <w:pPr>
                    <w:pStyle w:val="a7"/>
                    <w:spacing w:line="228" w:lineRule="auto"/>
                    <w:ind w:firstLine="0"/>
                    <w:rPr>
                      <w:rFonts w:ascii="Times New Roman" w:hAnsi="Times New Roman"/>
                      <w:b/>
                      <w:noProof/>
                      <w:sz w:val="24"/>
                      <w:szCs w:val="24"/>
                      <w:lang w:val="ru-RU"/>
                    </w:rPr>
                  </w:pPr>
                  <w:r w:rsidRPr="00FD0A19">
                    <w:rPr>
                      <w:rFonts w:ascii="Times New Roman" w:hAnsi="Times New Roman"/>
                      <w:b/>
                      <w:noProof/>
                      <w:sz w:val="24"/>
                      <w:szCs w:val="24"/>
                      <w:lang w:val="ru-RU"/>
                    </w:rPr>
                    <w:t>339</w:t>
                  </w:r>
                </w:p>
              </w:tc>
              <w:tc>
                <w:tcPr>
                  <w:tcW w:w="1770" w:type="dxa"/>
                </w:tcPr>
                <w:p w:rsidR="00B0089F" w:rsidRPr="00FD0A19" w:rsidRDefault="00B0089F" w:rsidP="00C36685">
                  <w:pPr>
                    <w:pStyle w:val="a7"/>
                    <w:spacing w:line="228" w:lineRule="auto"/>
                    <w:ind w:firstLine="0"/>
                    <w:rPr>
                      <w:rFonts w:ascii="Times New Roman" w:hAnsi="Times New Roman"/>
                      <w:b/>
                      <w:noProof/>
                      <w:sz w:val="24"/>
                      <w:szCs w:val="24"/>
                      <w:lang w:val="ru-RU"/>
                    </w:rPr>
                  </w:pPr>
                  <w:r w:rsidRPr="00FD0A19">
                    <w:rPr>
                      <w:rFonts w:ascii="Times New Roman" w:hAnsi="Times New Roman"/>
                      <w:b/>
                      <w:noProof/>
                      <w:sz w:val="24"/>
                      <w:szCs w:val="24"/>
                      <w:lang w:val="ru-RU"/>
                    </w:rPr>
                    <w:t>309</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55,3%</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36,3%</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8,4%</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реабілітаційні відділення</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2</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66,7%</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33,3%</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lang w:val="ru-RU"/>
                    </w:rPr>
                  </w:pPr>
                  <w:r w:rsidRPr="007B235D">
                    <w:rPr>
                      <w:rFonts w:ascii="Times New Roman" w:hAnsi="Times New Roman"/>
                      <w:noProof/>
                      <w:sz w:val="24"/>
                      <w:szCs w:val="24"/>
                      <w:lang w:val="ru-RU"/>
                    </w:rPr>
                    <w:t>відновленні</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1</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1</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100%</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lang w:val="ru-RU"/>
                    </w:rPr>
                  </w:pPr>
                </w:p>
              </w:tc>
              <w:tc>
                <w:tcPr>
                  <w:tcW w:w="1100" w:type="dxa"/>
                </w:tcPr>
                <w:p w:rsidR="00B0089F" w:rsidRPr="003964A4" w:rsidRDefault="00B0089F" w:rsidP="00C36685">
                  <w:pPr>
                    <w:pStyle w:val="a7"/>
                    <w:spacing w:line="228" w:lineRule="auto"/>
                    <w:ind w:firstLine="0"/>
                    <w:rPr>
                      <w:rFonts w:ascii="Times New Roman" w:hAnsi="Times New Roman"/>
                      <w:noProof/>
                      <w:sz w:val="24"/>
                      <w:szCs w:val="24"/>
                      <w:lang w:val="ru-RU"/>
                    </w:rPr>
                  </w:pP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Заклади освіти, в т.ч.:</w:t>
                  </w:r>
                </w:p>
              </w:tc>
              <w:tc>
                <w:tcPr>
                  <w:tcW w:w="1467" w:type="dxa"/>
                </w:tcPr>
                <w:p w:rsidR="00B0089F" w:rsidRPr="00FD0A19" w:rsidRDefault="00B0089F" w:rsidP="00C36685">
                  <w:pPr>
                    <w:pStyle w:val="a7"/>
                    <w:spacing w:line="228" w:lineRule="auto"/>
                    <w:ind w:firstLine="0"/>
                    <w:rPr>
                      <w:rFonts w:ascii="Times New Roman" w:hAnsi="Times New Roman"/>
                      <w:b/>
                      <w:noProof/>
                      <w:sz w:val="24"/>
                      <w:szCs w:val="24"/>
                    </w:rPr>
                  </w:pPr>
                  <w:r w:rsidRPr="00FD0A19">
                    <w:rPr>
                      <w:rFonts w:ascii="Times New Roman" w:hAnsi="Times New Roman"/>
                      <w:b/>
                      <w:noProof/>
                      <w:sz w:val="24"/>
                      <w:szCs w:val="24"/>
                    </w:rPr>
                    <w:t>560</w:t>
                  </w:r>
                </w:p>
              </w:tc>
              <w:tc>
                <w:tcPr>
                  <w:tcW w:w="1770" w:type="dxa"/>
                </w:tcPr>
                <w:p w:rsidR="00B0089F" w:rsidRPr="00FD0A19" w:rsidRDefault="00B0089F" w:rsidP="00C36685">
                  <w:pPr>
                    <w:pStyle w:val="a7"/>
                    <w:spacing w:line="228" w:lineRule="auto"/>
                    <w:ind w:firstLine="0"/>
                    <w:rPr>
                      <w:rFonts w:ascii="Times New Roman" w:hAnsi="Times New Roman"/>
                      <w:b/>
                      <w:noProof/>
                      <w:sz w:val="24"/>
                      <w:szCs w:val="24"/>
                    </w:rPr>
                  </w:pPr>
                  <w:r w:rsidRPr="00FD0A19">
                    <w:rPr>
                      <w:rFonts w:ascii="Times New Roman" w:hAnsi="Times New Roman"/>
                      <w:b/>
                      <w:noProof/>
                      <w:sz w:val="24"/>
                      <w:szCs w:val="24"/>
                    </w:rPr>
                    <w:t>519</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22,7%</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44,5%</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32,8%</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sz w:val="24"/>
                      <w:szCs w:val="24"/>
                    </w:rPr>
                    <w:t>відновленні</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 xml:space="preserve">Центри надання адміністративних послуг, в т.ч.: </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39</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39</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82%</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7,8%</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10,2%</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lastRenderedPageBreak/>
                    <w:t>відновленні</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Будівлі надавачів соціальних послуг та соціального захисту населення</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45</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45</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51,1%</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24,5%</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24,4%</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Залізничні вокзали та станції</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16</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13</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23,1%</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69,2%</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7,7%</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Автовокзали та станції</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5</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40%</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40%</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20%</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Фінансові установи, у т.ч.:</w:t>
                  </w:r>
                </w:p>
              </w:tc>
              <w:tc>
                <w:tcPr>
                  <w:tcW w:w="1467" w:type="dxa"/>
                </w:tcPr>
                <w:p w:rsidR="00B0089F" w:rsidRPr="00937F17" w:rsidRDefault="00B0089F" w:rsidP="00C36685">
                  <w:pPr>
                    <w:pStyle w:val="a7"/>
                    <w:spacing w:line="228" w:lineRule="auto"/>
                    <w:ind w:firstLine="0"/>
                    <w:rPr>
                      <w:rFonts w:ascii="Times New Roman" w:hAnsi="Times New Roman"/>
                      <w:b/>
                      <w:noProof/>
                      <w:sz w:val="24"/>
                      <w:szCs w:val="24"/>
                    </w:rPr>
                  </w:pPr>
                  <w:r w:rsidRPr="00937F17">
                    <w:rPr>
                      <w:rFonts w:ascii="Times New Roman" w:hAnsi="Times New Roman"/>
                      <w:b/>
                      <w:noProof/>
                      <w:sz w:val="24"/>
                      <w:szCs w:val="24"/>
                    </w:rPr>
                    <w:t>218</w:t>
                  </w:r>
                </w:p>
              </w:tc>
              <w:tc>
                <w:tcPr>
                  <w:tcW w:w="1770" w:type="dxa"/>
                </w:tcPr>
                <w:p w:rsidR="00B0089F" w:rsidRPr="00937F17" w:rsidRDefault="00B0089F" w:rsidP="00C36685">
                  <w:pPr>
                    <w:pStyle w:val="a7"/>
                    <w:spacing w:line="228" w:lineRule="auto"/>
                    <w:ind w:firstLine="0"/>
                    <w:rPr>
                      <w:rFonts w:ascii="Times New Roman" w:hAnsi="Times New Roman"/>
                      <w:b/>
                      <w:noProof/>
                      <w:sz w:val="24"/>
                      <w:szCs w:val="24"/>
                    </w:rPr>
                  </w:pPr>
                  <w:r w:rsidRPr="00937F17">
                    <w:rPr>
                      <w:rFonts w:ascii="Times New Roman" w:hAnsi="Times New Roman"/>
                      <w:b/>
                      <w:noProof/>
                      <w:sz w:val="24"/>
                      <w:szCs w:val="24"/>
                    </w:rPr>
                    <w:t>176</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11,4%</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68,2%</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20,4%</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банки</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60</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50</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18%</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62%</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20%</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поштові відділення</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158</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126</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8,7%</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70,7%</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20,6%</w:t>
                  </w:r>
                </w:p>
              </w:tc>
            </w:tr>
            <w:tr w:rsidR="00B0089F" w:rsidTr="00B0089F">
              <w:trPr>
                <w:trHeight w:val="560"/>
              </w:trPr>
              <w:tc>
                <w:tcPr>
                  <w:tcW w:w="2072" w:type="dxa"/>
                </w:tcPr>
                <w:p w:rsidR="00B0089F" w:rsidRPr="007B235D" w:rsidRDefault="00B0089F" w:rsidP="00C36685">
                  <w:pPr>
                    <w:pStyle w:val="a7"/>
                    <w:spacing w:line="228" w:lineRule="auto"/>
                    <w:ind w:firstLine="0"/>
                    <w:rPr>
                      <w:rFonts w:ascii="Times New Roman" w:hAnsi="Times New Roman"/>
                      <w:noProof/>
                      <w:sz w:val="24"/>
                      <w:szCs w:val="24"/>
                    </w:rPr>
                  </w:pPr>
                  <w:r w:rsidRPr="007B235D">
                    <w:rPr>
                      <w:rFonts w:ascii="Times New Roman" w:hAnsi="Times New Roman"/>
                      <w:noProof/>
                      <w:sz w:val="24"/>
                      <w:szCs w:val="24"/>
                    </w:rPr>
                    <w:t>Об’єкти благоустрою (площі, парки, сквери, ботанічні сади, дендрологічні парки)</w:t>
                  </w:r>
                </w:p>
              </w:tc>
              <w:tc>
                <w:tcPr>
                  <w:tcW w:w="1467"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68</w:t>
                  </w:r>
                </w:p>
              </w:tc>
              <w:tc>
                <w:tcPr>
                  <w:tcW w:w="177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59</w:t>
                  </w:r>
                </w:p>
              </w:tc>
              <w:tc>
                <w:tcPr>
                  <w:tcW w:w="104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47,5%</w:t>
                  </w:r>
                </w:p>
              </w:tc>
              <w:tc>
                <w:tcPr>
                  <w:tcW w:w="14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47,4%</w:t>
                  </w:r>
                </w:p>
              </w:tc>
              <w:tc>
                <w:tcPr>
                  <w:tcW w:w="1100" w:type="dxa"/>
                </w:tcPr>
                <w:p w:rsidR="00B0089F" w:rsidRPr="003964A4" w:rsidRDefault="00B0089F" w:rsidP="00C36685">
                  <w:pPr>
                    <w:pStyle w:val="a7"/>
                    <w:spacing w:line="228" w:lineRule="auto"/>
                    <w:ind w:firstLine="0"/>
                    <w:rPr>
                      <w:rFonts w:ascii="Times New Roman" w:hAnsi="Times New Roman"/>
                      <w:noProof/>
                      <w:sz w:val="24"/>
                      <w:szCs w:val="24"/>
                    </w:rPr>
                  </w:pPr>
                  <w:r>
                    <w:rPr>
                      <w:rFonts w:ascii="Times New Roman" w:hAnsi="Times New Roman"/>
                      <w:noProof/>
                      <w:sz w:val="24"/>
                      <w:szCs w:val="24"/>
                    </w:rPr>
                    <w:t>5,1%</w:t>
                  </w:r>
                </w:p>
              </w:tc>
            </w:tr>
          </w:tbl>
          <w:p w:rsidR="00B0089F" w:rsidRDefault="00B0089F" w:rsidP="00BC2253">
            <w:pPr>
              <w:ind w:firstLine="227"/>
              <w:jc w:val="both"/>
              <w:rPr>
                <w:szCs w:val="28"/>
              </w:rPr>
            </w:pPr>
          </w:p>
        </w:tc>
      </w:tr>
      <w:tr w:rsidR="000A2D14" w:rsidTr="00654D59">
        <w:tc>
          <w:tcPr>
            <w:tcW w:w="5762" w:type="dxa"/>
          </w:tcPr>
          <w:p w:rsidR="000A2D14" w:rsidRDefault="000A2D14" w:rsidP="00B0089F">
            <w:pPr>
              <w:ind w:right="38"/>
              <w:jc w:val="both"/>
              <w:rPr>
                <w:szCs w:val="28"/>
              </w:rPr>
            </w:pPr>
            <w:r>
              <w:rPr>
                <w:szCs w:val="28"/>
              </w:rPr>
              <w:lastRenderedPageBreak/>
              <w:t>Надання особам з інвалідністю безоплатної юридично-консультативної допомоги з питань забезпечення їх конституційних прав та гарантій.</w:t>
            </w:r>
          </w:p>
        </w:tc>
        <w:tc>
          <w:tcPr>
            <w:tcW w:w="9080" w:type="dxa"/>
          </w:tcPr>
          <w:p w:rsidR="007B67EF" w:rsidRPr="007B67EF" w:rsidRDefault="007B67EF" w:rsidP="007B6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color w:val="000000"/>
                <w:sz w:val="21"/>
                <w:szCs w:val="21"/>
                <w:lang w:eastAsia="uk-UA"/>
              </w:rPr>
            </w:pPr>
            <w:r w:rsidRPr="0049499F">
              <w:rPr>
                <w:rFonts w:ascii="Arial" w:hAnsi="Arial" w:cs="Arial"/>
                <w:noProof w:val="0"/>
                <w:color w:val="000000"/>
                <w:lang w:eastAsia="uk-UA"/>
              </w:rPr>
              <w:t>Івано-Франківським</w:t>
            </w:r>
            <w:r w:rsidRPr="007B67EF">
              <w:rPr>
                <w:rFonts w:ascii="Arial" w:hAnsi="Arial" w:cs="Arial"/>
                <w:noProof w:val="0"/>
                <w:color w:val="000000"/>
                <w:lang w:eastAsia="uk-UA"/>
              </w:rPr>
              <w:t xml:space="preserve"> відділ</w:t>
            </w:r>
            <w:r w:rsidR="0049499F" w:rsidRPr="0049499F">
              <w:rPr>
                <w:rFonts w:ascii="Arial" w:hAnsi="Arial" w:cs="Arial"/>
                <w:noProof w:val="0"/>
                <w:color w:val="000000"/>
                <w:lang w:eastAsia="uk-UA"/>
              </w:rPr>
              <w:t>ом</w:t>
            </w:r>
            <w:r w:rsidRPr="007B67EF">
              <w:rPr>
                <w:rFonts w:ascii="Arial" w:hAnsi="Arial" w:cs="Arial"/>
                <w:noProof w:val="0"/>
                <w:color w:val="000000"/>
                <w:lang w:eastAsia="uk-UA"/>
              </w:rPr>
              <w:t xml:space="preserve"> надання безоплатної правничої допомоги</w:t>
            </w:r>
            <w:r w:rsidRPr="0049499F">
              <w:rPr>
                <w:rFonts w:ascii="Arial" w:hAnsi="Arial" w:cs="Arial"/>
                <w:noProof w:val="0"/>
                <w:color w:val="000000"/>
                <w:lang w:eastAsia="uk-UA"/>
              </w:rPr>
              <w:t xml:space="preserve"> </w:t>
            </w:r>
            <w:r w:rsidRPr="007B67EF">
              <w:rPr>
                <w:rFonts w:ascii="Arial" w:hAnsi="Arial" w:cs="Arial"/>
                <w:noProof w:val="0"/>
                <w:color w:val="000000"/>
                <w:lang w:eastAsia="uk-UA"/>
              </w:rPr>
              <w:t>Південно-Західного управління надання безоплатної правничої допомоги</w:t>
            </w:r>
            <w:r w:rsidR="0049499F" w:rsidRPr="0049499F">
              <w:rPr>
                <w:rFonts w:ascii="Arial" w:hAnsi="Arial" w:cs="Arial"/>
                <w:noProof w:val="0"/>
                <w:color w:val="000000"/>
                <w:lang w:eastAsia="uk-UA"/>
              </w:rPr>
              <w:t xml:space="preserve"> </w:t>
            </w:r>
            <w:r w:rsidRPr="007B67EF">
              <w:rPr>
                <w:rFonts w:ascii="Arial" w:hAnsi="Arial" w:cs="Arial"/>
                <w:noProof w:val="0"/>
                <w:color w:val="000000"/>
                <w:lang w:eastAsia="uk-UA"/>
              </w:rPr>
              <w:t>Західного міжрегіонального центру з надання безоплатної правничої</w:t>
            </w:r>
            <w:r w:rsidR="0049499F" w:rsidRPr="0049499F">
              <w:rPr>
                <w:rFonts w:ascii="Arial" w:hAnsi="Arial" w:cs="Arial"/>
                <w:noProof w:val="0"/>
                <w:color w:val="000000"/>
                <w:lang w:eastAsia="uk-UA"/>
              </w:rPr>
              <w:t xml:space="preserve"> </w:t>
            </w:r>
            <w:r w:rsidRPr="007B67EF">
              <w:rPr>
                <w:rFonts w:ascii="Arial" w:hAnsi="Arial" w:cs="Arial"/>
                <w:noProof w:val="0"/>
                <w:color w:val="000000"/>
                <w:lang w:eastAsia="uk-UA"/>
              </w:rPr>
              <w:t>допомоги</w:t>
            </w:r>
            <w:r w:rsidR="0049499F" w:rsidRPr="0049499F">
              <w:rPr>
                <w:rFonts w:ascii="Arial" w:hAnsi="Arial" w:cs="Arial"/>
                <w:noProof w:val="0"/>
                <w:color w:val="000000"/>
                <w:lang w:eastAsia="uk-UA"/>
              </w:rPr>
              <w:t xml:space="preserve"> у період з 01.01.2024 по 30.11.2024 надано безоплатну правничу допомогу </w:t>
            </w:r>
            <w:r w:rsidR="00552A07">
              <w:rPr>
                <w:rFonts w:ascii="Arial" w:hAnsi="Arial" w:cs="Arial"/>
                <w:noProof w:val="0"/>
                <w:color w:val="000000"/>
                <w:lang w:eastAsia="uk-UA"/>
              </w:rPr>
              <w:br/>
            </w:r>
            <w:r w:rsidR="0049499F" w:rsidRPr="0049499F">
              <w:rPr>
                <w:rFonts w:ascii="Arial" w:hAnsi="Arial" w:cs="Arial"/>
                <w:noProof w:val="0"/>
                <w:color w:val="000000"/>
                <w:lang w:eastAsia="uk-UA"/>
              </w:rPr>
              <w:t>391 особі з інвалідністю.</w:t>
            </w:r>
          </w:p>
          <w:p w:rsidR="000A2D14" w:rsidRPr="0049499F" w:rsidRDefault="000A2D14" w:rsidP="007B6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8"/>
              </w:rPr>
            </w:pPr>
          </w:p>
        </w:tc>
      </w:tr>
    </w:tbl>
    <w:p w:rsidR="00A73857" w:rsidRDefault="00A73857">
      <w:pPr>
        <w:rPr>
          <w:b/>
        </w:rPr>
      </w:pPr>
    </w:p>
    <w:p w:rsidR="00A73857" w:rsidRDefault="00492CAA">
      <w:pPr>
        <w:rPr>
          <w:b/>
        </w:rPr>
      </w:pPr>
      <w:r w:rsidRPr="00492CAA">
        <w:rPr>
          <w:b/>
        </w:rPr>
        <w:t>Гол</w:t>
      </w:r>
      <w:r w:rsidR="00A73857">
        <w:rPr>
          <w:b/>
        </w:rPr>
        <w:t>овний спеціаліст служби містобу</w:t>
      </w:r>
      <w:r w:rsidRPr="00492CAA">
        <w:rPr>
          <w:b/>
        </w:rPr>
        <w:t>дівного</w:t>
      </w:r>
      <w:r w:rsidR="00A73857">
        <w:rPr>
          <w:b/>
        </w:rPr>
        <w:t xml:space="preserve"> </w:t>
      </w:r>
      <w:r>
        <w:rPr>
          <w:b/>
        </w:rPr>
        <w:t>к</w:t>
      </w:r>
      <w:r w:rsidRPr="00492CAA">
        <w:rPr>
          <w:b/>
        </w:rPr>
        <w:t xml:space="preserve">адастру </w:t>
      </w:r>
      <w:r>
        <w:rPr>
          <w:b/>
        </w:rPr>
        <w:t>управління</w:t>
      </w:r>
    </w:p>
    <w:p w:rsidR="00492CAA" w:rsidRPr="00492CAA" w:rsidRDefault="00492CAA">
      <w:pPr>
        <w:rPr>
          <w:b/>
        </w:rPr>
      </w:pPr>
      <w:r>
        <w:rPr>
          <w:b/>
        </w:rPr>
        <w:t>містоб</w:t>
      </w:r>
      <w:r w:rsidRPr="00492CAA">
        <w:rPr>
          <w:b/>
        </w:rPr>
        <w:t>удування та архітектури</w:t>
      </w:r>
      <w:r w:rsidR="00A73857">
        <w:rPr>
          <w:b/>
        </w:rPr>
        <w:t xml:space="preserve"> </w:t>
      </w:r>
      <w:r>
        <w:rPr>
          <w:b/>
        </w:rPr>
        <w:t>д</w:t>
      </w:r>
      <w:r w:rsidRPr="00492CAA">
        <w:rPr>
          <w:b/>
        </w:rPr>
        <w:t>епартаменту розвитку громад та територій,</w:t>
      </w:r>
    </w:p>
    <w:p w:rsidR="00492CAA" w:rsidRPr="00492CAA" w:rsidRDefault="00492CAA">
      <w:pPr>
        <w:rPr>
          <w:b/>
        </w:rPr>
      </w:pPr>
      <w:r>
        <w:rPr>
          <w:b/>
        </w:rPr>
        <w:t>д</w:t>
      </w:r>
      <w:r w:rsidRPr="00492CAA">
        <w:rPr>
          <w:b/>
        </w:rPr>
        <w:t>орожнього, житлово-комунального</w:t>
      </w:r>
      <w:r w:rsidR="00A73857">
        <w:rPr>
          <w:b/>
        </w:rPr>
        <w:t xml:space="preserve"> </w:t>
      </w:r>
      <w:r>
        <w:rPr>
          <w:b/>
        </w:rPr>
        <w:t>г</w:t>
      </w:r>
      <w:r w:rsidRPr="00492CAA">
        <w:rPr>
          <w:b/>
        </w:rPr>
        <w:t>осподарства, містобудування та архітектури</w:t>
      </w:r>
    </w:p>
    <w:p w:rsidR="00492CAA" w:rsidRPr="00492CAA" w:rsidRDefault="00A73857">
      <w:pPr>
        <w:rPr>
          <w:b/>
        </w:rPr>
      </w:pPr>
      <w:r>
        <w:rPr>
          <w:b/>
        </w:rPr>
        <w:t xml:space="preserve">Івано-Франківської </w:t>
      </w:r>
      <w:r w:rsidR="00492CAA">
        <w:rPr>
          <w:b/>
        </w:rPr>
        <w:t>о</w:t>
      </w:r>
      <w:r w:rsidR="00492CAA" w:rsidRPr="00492CAA">
        <w:rPr>
          <w:b/>
        </w:rPr>
        <w:t>блдержадміністрації, секретар комітету</w:t>
      </w:r>
      <w:r w:rsidR="00492CAA">
        <w:rPr>
          <w:b/>
        </w:rPr>
        <w:t xml:space="preserve">    </w:t>
      </w:r>
      <w:r>
        <w:rPr>
          <w:b/>
        </w:rPr>
        <w:tab/>
      </w:r>
      <w:r>
        <w:rPr>
          <w:b/>
        </w:rPr>
        <w:tab/>
      </w:r>
      <w:r>
        <w:rPr>
          <w:b/>
        </w:rPr>
        <w:tab/>
      </w:r>
      <w:r>
        <w:rPr>
          <w:b/>
        </w:rPr>
        <w:tab/>
      </w:r>
      <w:r>
        <w:rPr>
          <w:b/>
        </w:rPr>
        <w:tab/>
      </w:r>
      <w:r>
        <w:rPr>
          <w:b/>
        </w:rPr>
        <w:tab/>
      </w:r>
      <w:r>
        <w:rPr>
          <w:b/>
        </w:rPr>
        <w:tab/>
      </w:r>
      <w:r>
        <w:rPr>
          <w:b/>
        </w:rPr>
        <w:tab/>
        <w:t>Леся Шедловська</w:t>
      </w:r>
      <w:r w:rsidR="00492CAA">
        <w:rPr>
          <w:b/>
        </w:rPr>
        <w:t xml:space="preserve">                                                                                 </w:t>
      </w:r>
      <w:r>
        <w:rPr>
          <w:b/>
        </w:rPr>
        <w:t xml:space="preserve">                                                      </w:t>
      </w:r>
    </w:p>
    <w:sectPr w:rsidR="00492CAA" w:rsidRPr="00492CAA" w:rsidSect="00F90A24">
      <w:pgSz w:w="16838" w:h="11906" w:orient="landscape" w:code="9"/>
      <w:pgMar w:top="567" w:right="122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0000000000000000000"/>
    <w:charset w:val="81"/>
    <w:family w:val="moder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B7F94"/>
    <w:multiLevelType w:val="hybridMultilevel"/>
    <w:tmpl w:val="5D1A45D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drawingGridHorizontalSpacing w:val="67"/>
  <w:displayVerticalDrawingGridEvery w:val="2"/>
  <w:characterSpacingControl w:val="doNotCompress"/>
  <w:compat/>
  <w:rsids>
    <w:rsidRoot w:val="00332E56"/>
    <w:rsid w:val="0002667A"/>
    <w:rsid w:val="0003691D"/>
    <w:rsid w:val="000A2D14"/>
    <w:rsid w:val="000C12A6"/>
    <w:rsid w:val="000D1732"/>
    <w:rsid w:val="000D31EC"/>
    <w:rsid w:val="0010661E"/>
    <w:rsid w:val="0011508D"/>
    <w:rsid w:val="00116C4C"/>
    <w:rsid w:val="00120F42"/>
    <w:rsid w:val="00122457"/>
    <w:rsid w:val="001321C0"/>
    <w:rsid w:val="0013419C"/>
    <w:rsid w:val="0014333D"/>
    <w:rsid w:val="00157680"/>
    <w:rsid w:val="00170F8C"/>
    <w:rsid w:val="001850DE"/>
    <w:rsid w:val="00194858"/>
    <w:rsid w:val="001A0743"/>
    <w:rsid w:val="001A587B"/>
    <w:rsid w:val="001B37EC"/>
    <w:rsid w:val="001F5C03"/>
    <w:rsid w:val="00222009"/>
    <w:rsid w:val="002625E1"/>
    <w:rsid w:val="00273B0A"/>
    <w:rsid w:val="002F4806"/>
    <w:rsid w:val="00321928"/>
    <w:rsid w:val="00332E56"/>
    <w:rsid w:val="00335EF5"/>
    <w:rsid w:val="00352D5D"/>
    <w:rsid w:val="00386A86"/>
    <w:rsid w:val="003928FB"/>
    <w:rsid w:val="00397A24"/>
    <w:rsid w:val="003C3AF8"/>
    <w:rsid w:val="003D2F4E"/>
    <w:rsid w:val="00405C26"/>
    <w:rsid w:val="00441A66"/>
    <w:rsid w:val="00455D50"/>
    <w:rsid w:val="00461F92"/>
    <w:rsid w:val="0047309D"/>
    <w:rsid w:val="0047526C"/>
    <w:rsid w:val="00492CAA"/>
    <w:rsid w:val="0049499F"/>
    <w:rsid w:val="004A7F8E"/>
    <w:rsid w:val="004C09B9"/>
    <w:rsid w:val="004C2702"/>
    <w:rsid w:val="004C2799"/>
    <w:rsid w:val="004D04D7"/>
    <w:rsid w:val="004E239A"/>
    <w:rsid w:val="00544422"/>
    <w:rsid w:val="00547AE3"/>
    <w:rsid w:val="00552A07"/>
    <w:rsid w:val="005647E3"/>
    <w:rsid w:val="00574B91"/>
    <w:rsid w:val="005926BE"/>
    <w:rsid w:val="005A2D74"/>
    <w:rsid w:val="005A7ADF"/>
    <w:rsid w:val="005B6681"/>
    <w:rsid w:val="005D249D"/>
    <w:rsid w:val="005F64C2"/>
    <w:rsid w:val="006067C2"/>
    <w:rsid w:val="0061565F"/>
    <w:rsid w:val="006402D3"/>
    <w:rsid w:val="00654D59"/>
    <w:rsid w:val="00660EC8"/>
    <w:rsid w:val="00665C3B"/>
    <w:rsid w:val="00667F77"/>
    <w:rsid w:val="006C09B2"/>
    <w:rsid w:val="006C23AD"/>
    <w:rsid w:val="006D2BE5"/>
    <w:rsid w:val="006E433A"/>
    <w:rsid w:val="00764DFA"/>
    <w:rsid w:val="007714AF"/>
    <w:rsid w:val="007941DF"/>
    <w:rsid w:val="007976CA"/>
    <w:rsid w:val="007B67EF"/>
    <w:rsid w:val="007C12A7"/>
    <w:rsid w:val="007E2B1D"/>
    <w:rsid w:val="007F7B94"/>
    <w:rsid w:val="00800912"/>
    <w:rsid w:val="008017FD"/>
    <w:rsid w:val="0085191B"/>
    <w:rsid w:val="0088347C"/>
    <w:rsid w:val="008840C5"/>
    <w:rsid w:val="00887498"/>
    <w:rsid w:val="008D2812"/>
    <w:rsid w:val="008F1CD9"/>
    <w:rsid w:val="0091433E"/>
    <w:rsid w:val="009626DC"/>
    <w:rsid w:val="00973084"/>
    <w:rsid w:val="009768ED"/>
    <w:rsid w:val="009C4748"/>
    <w:rsid w:val="009D1693"/>
    <w:rsid w:val="009D4026"/>
    <w:rsid w:val="009E5B06"/>
    <w:rsid w:val="00A44465"/>
    <w:rsid w:val="00A73857"/>
    <w:rsid w:val="00AD3279"/>
    <w:rsid w:val="00AD4EF8"/>
    <w:rsid w:val="00AF043B"/>
    <w:rsid w:val="00B0089F"/>
    <w:rsid w:val="00B111DE"/>
    <w:rsid w:val="00B157EC"/>
    <w:rsid w:val="00B41FEE"/>
    <w:rsid w:val="00B77450"/>
    <w:rsid w:val="00B812C4"/>
    <w:rsid w:val="00B81D7B"/>
    <w:rsid w:val="00BB635D"/>
    <w:rsid w:val="00BB6CC8"/>
    <w:rsid w:val="00BC2253"/>
    <w:rsid w:val="00BC2412"/>
    <w:rsid w:val="00BF135A"/>
    <w:rsid w:val="00C23524"/>
    <w:rsid w:val="00C310AB"/>
    <w:rsid w:val="00C36685"/>
    <w:rsid w:val="00C902DA"/>
    <w:rsid w:val="00CA6A9D"/>
    <w:rsid w:val="00CB1C1F"/>
    <w:rsid w:val="00CF122F"/>
    <w:rsid w:val="00CF2830"/>
    <w:rsid w:val="00D35549"/>
    <w:rsid w:val="00D60A4A"/>
    <w:rsid w:val="00D67C24"/>
    <w:rsid w:val="00D80894"/>
    <w:rsid w:val="00DA63C2"/>
    <w:rsid w:val="00DB45E5"/>
    <w:rsid w:val="00DC1C0A"/>
    <w:rsid w:val="00DF54C4"/>
    <w:rsid w:val="00E048B3"/>
    <w:rsid w:val="00E3028B"/>
    <w:rsid w:val="00E32338"/>
    <w:rsid w:val="00E64A83"/>
    <w:rsid w:val="00ED05ED"/>
    <w:rsid w:val="00EE7514"/>
    <w:rsid w:val="00EF2E57"/>
    <w:rsid w:val="00EF6196"/>
    <w:rsid w:val="00F16285"/>
    <w:rsid w:val="00F23897"/>
    <w:rsid w:val="00F346A0"/>
    <w:rsid w:val="00F628CC"/>
    <w:rsid w:val="00F90A24"/>
    <w:rsid w:val="00F96573"/>
    <w:rsid w:val="00F96A49"/>
    <w:rsid w:val="00F97010"/>
    <w:rsid w:val="00FB4C7A"/>
    <w:rsid w:val="00FC19DC"/>
    <w:rsid w:val="00FF5B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4C2"/>
    <w:rPr>
      <w:noProof/>
      <w:sz w:val="24"/>
      <w:szCs w:val="24"/>
      <w:lang w:eastAsia="ru-RU"/>
    </w:rPr>
  </w:style>
  <w:style w:type="paragraph" w:styleId="3">
    <w:name w:val="heading 3"/>
    <w:basedOn w:val="a"/>
    <w:next w:val="a"/>
    <w:link w:val="30"/>
    <w:qFormat/>
    <w:rsid w:val="00EE7514"/>
    <w:pPr>
      <w:keepNext/>
      <w:spacing w:before="240" w:after="60"/>
      <w:outlineLvl w:val="2"/>
    </w:pPr>
    <w:rPr>
      <w:rFonts w:ascii="Cambria" w:hAnsi="Cambria"/>
      <w:b/>
      <w:bCs/>
      <w:noProof w:val="0"/>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332E56"/>
    <w:pPr>
      <w:spacing w:before="100" w:beforeAutospacing="1" w:after="100" w:afterAutospacing="1"/>
    </w:pPr>
    <w:rPr>
      <w:noProof w:val="0"/>
      <w:lang w:eastAsia="uk-UA"/>
    </w:rPr>
  </w:style>
  <w:style w:type="table" w:styleId="a3">
    <w:name w:val="Table Grid"/>
    <w:basedOn w:val="a1"/>
    <w:rsid w:val="00157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97010"/>
    <w:rPr>
      <w:rFonts w:cs="Times New Roman"/>
    </w:rPr>
  </w:style>
  <w:style w:type="paragraph" w:customStyle="1" w:styleId="normal">
    <w:name w:val="normal"/>
    <w:rsid w:val="00F97010"/>
    <w:pPr>
      <w:spacing w:line="276" w:lineRule="auto"/>
    </w:pPr>
    <w:rPr>
      <w:rFonts w:ascii="Arial" w:hAnsi="Arial" w:cs="Arial"/>
      <w:sz w:val="22"/>
      <w:szCs w:val="22"/>
      <w:lang w:val="ru-RU" w:eastAsia="ru-RU"/>
    </w:rPr>
  </w:style>
  <w:style w:type="character" w:styleId="a4">
    <w:name w:val="Hyperlink"/>
    <w:basedOn w:val="a0"/>
    <w:rsid w:val="007E2B1D"/>
    <w:rPr>
      <w:rFonts w:cs="Times New Roman"/>
      <w:color w:val="0000FF"/>
      <w:u w:val="single"/>
    </w:rPr>
  </w:style>
  <w:style w:type="paragraph" w:styleId="HTML">
    <w:name w:val="HTML Preformatted"/>
    <w:basedOn w:val="a"/>
    <w:link w:val="HTML0"/>
    <w:uiPriority w:val="99"/>
    <w:rsid w:val="0097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ru-RU"/>
    </w:rPr>
  </w:style>
  <w:style w:type="character" w:customStyle="1" w:styleId="HTML0">
    <w:name w:val="Стандартный HTML Знак"/>
    <w:basedOn w:val="a0"/>
    <w:link w:val="HTML"/>
    <w:uiPriority w:val="99"/>
    <w:locked/>
    <w:rsid w:val="00973084"/>
    <w:rPr>
      <w:rFonts w:ascii="Courier New" w:hAnsi="Courier New" w:cs="Courier New"/>
      <w:lang w:val="ru-RU" w:eastAsia="ru-RU" w:bidi="ar-SA"/>
    </w:rPr>
  </w:style>
  <w:style w:type="paragraph" w:customStyle="1" w:styleId="1">
    <w:name w:val="Абзац списка1"/>
    <w:basedOn w:val="a"/>
    <w:rsid w:val="009C4748"/>
    <w:pPr>
      <w:spacing w:after="200" w:line="276" w:lineRule="auto"/>
      <w:ind w:left="720"/>
      <w:contextualSpacing/>
    </w:pPr>
    <w:rPr>
      <w:rFonts w:ascii="Calibri" w:hAnsi="Calibri"/>
      <w:noProof w:val="0"/>
      <w:sz w:val="22"/>
      <w:szCs w:val="22"/>
      <w:lang w:eastAsia="en-US"/>
    </w:rPr>
  </w:style>
  <w:style w:type="character" w:customStyle="1" w:styleId="2">
    <w:name w:val="Основний текст (2)_"/>
    <w:basedOn w:val="a0"/>
    <w:link w:val="20"/>
    <w:locked/>
    <w:rsid w:val="005647E3"/>
    <w:rPr>
      <w:sz w:val="28"/>
      <w:szCs w:val="28"/>
      <w:shd w:val="clear" w:color="auto" w:fill="FFFFFF"/>
      <w:lang w:bidi="ar-SA"/>
    </w:rPr>
  </w:style>
  <w:style w:type="paragraph" w:customStyle="1" w:styleId="20">
    <w:name w:val="Основний текст (2)"/>
    <w:basedOn w:val="a"/>
    <w:link w:val="2"/>
    <w:rsid w:val="005647E3"/>
    <w:pPr>
      <w:widowControl w:val="0"/>
      <w:shd w:val="clear" w:color="auto" w:fill="FFFFFF"/>
      <w:spacing w:after="300" w:line="322" w:lineRule="exact"/>
      <w:jc w:val="both"/>
    </w:pPr>
    <w:rPr>
      <w:noProof w:val="0"/>
      <w:sz w:val="28"/>
      <w:szCs w:val="28"/>
      <w:shd w:val="clear" w:color="auto" w:fill="FFFFFF"/>
      <w:lang w:eastAsia="uk-UA"/>
    </w:rPr>
  </w:style>
  <w:style w:type="character" w:customStyle="1" w:styleId="2105pt">
    <w:name w:val="Основний текст (2) + 10.5 pt"/>
    <w:basedOn w:val="2"/>
    <w:rsid w:val="005647E3"/>
    <w:rPr>
      <w:color w:val="000000"/>
      <w:spacing w:val="0"/>
      <w:w w:val="100"/>
      <w:position w:val="0"/>
      <w:sz w:val="21"/>
      <w:szCs w:val="21"/>
      <w:lang w:val="uk-UA" w:eastAsia="uk-UA"/>
    </w:rPr>
  </w:style>
  <w:style w:type="paragraph" w:styleId="a5">
    <w:name w:val="Normal (Web)"/>
    <w:basedOn w:val="a"/>
    <w:rsid w:val="000D31EC"/>
    <w:pPr>
      <w:spacing w:before="100" w:beforeAutospacing="1" w:after="100" w:afterAutospacing="1"/>
    </w:pPr>
    <w:rPr>
      <w:noProof w:val="0"/>
      <w:lang w:val="ru-RU"/>
    </w:rPr>
  </w:style>
  <w:style w:type="character" w:customStyle="1" w:styleId="30">
    <w:name w:val="Заголовок 3 Знак"/>
    <w:link w:val="3"/>
    <w:semiHidden/>
    <w:rsid w:val="00EE7514"/>
    <w:rPr>
      <w:rFonts w:ascii="Cambria" w:hAnsi="Cambria"/>
      <w:b/>
      <w:bCs/>
      <w:sz w:val="26"/>
      <w:szCs w:val="26"/>
      <w:lang w:val="uk-UA" w:eastAsia="uk-UA" w:bidi="ar-SA"/>
    </w:rPr>
  </w:style>
  <w:style w:type="paragraph" w:customStyle="1" w:styleId="a6">
    <w:name w:val="Абзац списку"/>
    <w:basedOn w:val="a"/>
    <w:qFormat/>
    <w:rsid w:val="00EE7514"/>
    <w:pPr>
      <w:spacing w:after="200" w:line="276" w:lineRule="auto"/>
      <w:ind w:left="720"/>
      <w:contextualSpacing/>
    </w:pPr>
    <w:rPr>
      <w:rFonts w:ascii="Calibri" w:eastAsia="Calibri" w:hAnsi="Calibri"/>
      <w:noProof w:val="0"/>
      <w:sz w:val="22"/>
      <w:szCs w:val="22"/>
      <w:lang w:eastAsia="en-US"/>
    </w:rPr>
  </w:style>
  <w:style w:type="paragraph" w:customStyle="1" w:styleId="10">
    <w:name w:val="Знак Знак Знак Знак Знак1 Знак Знак Знак Знак Знак Знак Знак Знак Знак Знак Знак Знак Знак Знак Знак Знак Знак Знак"/>
    <w:basedOn w:val="a"/>
    <w:rsid w:val="008840C5"/>
    <w:rPr>
      <w:rFonts w:ascii="Verdana" w:eastAsia="MS Mincho" w:hAnsi="Verdana" w:cs="Verdana"/>
      <w:b/>
      <w:noProof w:val="0"/>
      <w:sz w:val="20"/>
      <w:szCs w:val="20"/>
      <w:lang w:val="en-US" w:eastAsia="en-US"/>
    </w:rPr>
  </w:style>
  <w:style w:type="paragraph" w:customStyle="1" w:styleId="a7">
    <w:name w:val="Нормальний текст"/>
    <w:basedOn w:val="a"/>
    <w:rsid w:val="008840C5"/>
    <w:pPr>
      <w:spacing w:before="120"/>
      <w:ind w:firstLine="567"/>
    </w:pPr>
    <w:rPr>
      <w:rFonts w:ascii="Antiqua" w:hAnsi="Antiqua"/>
      <w:noProof w:val="0"/>
      <w:sz w:val="26"/>
      <w:szCs w:val="20"/>
    </w:rPr>
  </w:style>
  <w:style w:type="paragraph" w:customStyle="1" w:styleId="a8">
    <w:name w:val="Назва документа"/>
    <w:basedOn w:val="a"/>
    <w:next w:val="a7"/>
    <w:rsid w:val="0010661E"/>
    <w:pPr>
      <w:keepNext/>
      <w:keepLines/>
      <w:spacing w:before="240" w:after="240"/>
      <w:jc w:val="center"/>
    </w:pPr>
    <w:rPr>
      <w:rFonts w:ascii="Antiqua" w:eastAsia="Calibri" w:hAnsi="Antiqua"/>
      <w:b/>
      <w:noProof w:val="0"/>
      <w:sz w:val="26"/>
      <w:szCs w:val="20"/>
    </w:rPr>
  </w:style>
  <w:style w:type="paragraph" w:styleId="a9">
    <w:name w:val="Balloon Text"/>
    <w:basedOn w:val="a"/>
    <w:link w:val="aa"/>
    <w:rsid w:val="00B111DE"/>
    <w:rPr>
      <w:rFonts w:ascii="Tahoma" w:hAnsi="Tahoma" w:cs="Tahoma"/>
      <w:sz w:val="16"/>
      <w:szCs w:val="16"/>
    </w:rPr>
  </w:style>
  <w:style w:type="character" w:customStyle="1" w:styleId="aa">
    <w:name w:val="Текст выноски Знак"/>
    <w:basedOn w:val="a0"/>
    <w:link w:val="a9"/>
    <w:rsid w:val="00B111DE"/>
    <w:rPr>
      <w:rFonts w:ascii="Tahoma" w:hAnsi="Tahoma" w:cs="Tahoma"/>
      <w:noProof/>
      <w:sz w:val="16"/>
      <w:szCs w:val="16"/>
      <w:lang w:eastAsia="ru-RU"/>
    </w:rPr>
  </w:style>
</w:styles>
</file>

<file path=word/webSettings.xml><?xml version="1.0" encoding="utf-8"?>
<w:webSettings xmlns:r="http://schemas.openxmlformats.org/officeDocument/2006/relationships" xmlns:w="http://schemas.openxmlformats.org/wordprocessingml/2006/main">
  <w:divs>
    <w:div w:id="1329140797">
      <w:bodyDiv w:val="1"/>
      <w:marLeft w:val="0"/>
      <w:marRight w:val="0"/>
      <w:marTop w:val="0"/>
      <w:marBottom w:val="0"/>
      <w:divBdr>
        <w:top w:val="none" w:sz="0" w:space="0" w:color="auto"/>
        <w:left w:val="none" w:sz="0" w:space="0" w:color="auto"/>
        <w:bottom w:val="none" w:sz="0" w:space="0" w:color="auto"/>
        <w:right w:val="none" w:sz="0" w:space="0" w:color="auto"/>
      </w:divBdr>
    </w:div>
    <w:div w:id="20516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lrada.gov.ua/news/ogolosennya-shhodo-oblastuvannya-dostupnogo-ukritt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facebook.com/l.php?u=https%3A%2F%2Fbit.ly%2F3aVLXdg%3Ffbclid%3DIwAR1LcVs_AzzcjcW_W-yBSoaY19PeiP9Xdeznel-ibQYg8KYo4YNTebzJWkA&amp;h=AT2gIIuniyrERqh-pQWG0ifobp0LruhJxgXwyhSuTxrYDSLfPdvCAh-wQblt8OqapuizkcpKLQpeP8pazOSieur-rOtSw6R1eVFLyRqwxp6X1VUSfZbKJp6HixsGNqsoDsdTP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gress.gov.ua/na-prykarpatti-prokhodyt-forum-svit-bez-obmezhen/" TargetMode="External"/><Relationship Id="rId5" Type="http://schemas.openxmlformats.org/officeDocument/2006/relationships/hyperlink" Target="https://www.facebook.com/groups/227345287812265/" TargetMode="External"/><Relationship Id="rId10" Type="http://schemas.openxmlformats.org/officeDocument/2006/relationships/hyperlink" Target="https://www.if.gov.ua/ekonomika-if/infrastruktura/transport/transportna-dostupnist" TargetMode="External"/><Relationship Id="rId4" Type="http://schemas.openxmlformats.org/officeDocument/2006/relationships/webSettings" Target="webSettings.xml"/><Relationship Id="rId9" Type="http://schemas.openxmlformats.org/officeDocument/2006/relationships/hyperlink" Target="https://kalushr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16058</Words>
  <Characters>9154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Річний звіт</vt:lpstr>
    </vt:vector>
  </TitlesOfParts>
  <Company>Home</Company>
  <LinksUpToDate>false</LinksUpToDate>
  <CharactersWithSpaces>25162</CharactersWithSpaces>
  <SharedDoc>false</SharedDoc>
  <HLinks>
    <vt:vector size="36" baseType="variant">
      <vt:variant>
        <vt:i4>1638464</vt:i4>
      </vt:variant>
      <vt:variant>
        <vt:i4>24</vt:i4>
      </vt:variant>
      <vt:variant>
        <vt:i4>0</vt:i4>
      </vt:variant>
      <vt:variant>
        <vt:i4>5</vt:i4>
      </vt:variant>
      <vt:variant>
        <vt:lpwstr>https://www.congress.gov.ua/na-prykarpatti-prokhodyt-forum-svit-bez-obmezhen/</vt:lpwstr>
      </vt:variant>
      <vt:variant>
        <vt:lpwstr/>
      </vt:variant>
      <vt:variant>
        <vt:i4>7405680</vt:i4>
      </vt:variant>
      <vt:variant>
        <vt:i4>21</vt:i4>
      </vt:variant>
      <vt:variant>
        <vt:i4>0</vt:i4>
      </vt:variant>
      <vt:variant>
        <vt:i4>5</vt:i4>
      </vt:variant>
      <vt:variant>
        <vt:lpwstr>https://www.if.gov.ua/ekonomika-if/infrastruktura/transport/transportna-dostupnist</vt:lpwstr>
      </vt:variant>
      <vt:variant>
        <vt:lpwstr/>
      </vt:variant>
      <vt:variant>
        <vt:i4>458819</vt:i4>
      </vt:variant>
      <vt:variant>
        <vt:i4>18</vt:i4>
      </vt:variant>
      <vt:variant>
        <vt:i4>0</vt:i4>
      </vt:variant>
      <vt:variant>
        <vt:i4>5</vt:i4>
      </vt:variant>
      <vt:variant>
        <vt:lpwstr>https://kalushrda.gov.ua/</vt:lpwstr>
      </vt:variant>
      <vt:variant>
        <vt:lpwstr/>
      </vt:variant>
      <vt:variant>
        <vt:i4>4194327</vt:i4>
      </vt:variant>
      <vt:variant>
        <vt:i4>15</vt:i4>
      </vt:variant>
      <vt:variant>
        <vt:i4>0</vt:i4>
      </vt:variant>
      <vt:variant>
        <vt:i4>5</vt:i4>
      </vt:variant>
      <vt:variant>
        <vt:lpwstr>https://kolrada.gov.ua/news/ogolosennya-shhodo-oblastuvannya-dostupnogo-ukrittya</vt:lpwstr>
      </vt:variant>
      <vt:variant>
        <vt:lpwstr/>
      </vt:variant>
      <vt:variant>
        <vt:i4>8060964</vt:i4>
      </vt:variant>
      <vt:variant>
        <vt:i4>12</vt:i4>
      </vt:variant>
      <vt:variant>
        <vt:i4>0</vt:i4>
      </vt:variant>
      <vt:variant>
        <vt:i4>5</vt:i4>
      </vt:variant>
      <vt:variant>
        <vt:lpwstr>https://l.facebook.com/l.php?u=https%3A%2F%2Fbit.ly%2F3aVLXdg%3Ffbclid%3DIwAR1LcVs_AzzcjcW_W-yBSoaY19PeiP9Xdeznel-ibQYg8KYo4YNTebzJWkA&amp;h=AT2gIIuniyrERqh-pQWG0ifobp0LruhJxgXwyhSuTxrYDSLfPdvCAh-wQblt8OqapuizkcpKLQpeP8pazOSieur-rOtSw6R1eVFLyRqwxp6X1VUSfZbKJp6HixsGNqsoDsdTPQ</vt:lpwstr>
      </vt:variant>
      <vt:variant>
        <vt:lpwstr/>
      </vt:variant>
      <vt:variant>
        <vt:i4>917584</vt:i4>
      </vt:variant>
      <vt:variant>
        <vt:i4>0</vt:i4>
      </vt:variant>
      <vt:variant>
        <vt:i4>0</vt:i4>
      </vt:variant>
      <vt:variant>
        <vt:i4>5</vt:i4>
      </vt:variant>
      <vt:variant>
        <vt:lpwstr>https://www.facebook.com/groups/227345287812265/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Річний звіт</dc:title>
  <dc:creator>Администратор</dc:creator>
  <cp:lastModifiedBy>User 1</cp:lastModifiedBy>
  <cp:revision>21</cp:revision>
  <cp:lastPrinted>2024-12-23T13:46:00Z</cp:lastPrinted>
  <dcterms:created xsi:type="dcterms:W3CDTF">2024-12-23T09:31:00Z</dcterms:created>
  <dcterms:modified xsi:type="dcterms:W3CDTF">2024-12-24T07:51:00Z</dcterms:modified>
</cp:coreProperties>
</file>