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3759" w14:textId="5BFFC61A" w:rsidR="004266B6" w:rsidRPr="004266B6" w:rsidRDefault="004266B6" w:rsidP="004266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6B6">
        <w:rPr>
          <w:rFonts w:ascii="Times New Roman" w:hAnsi="Times New Roman" w:cs="Times New Roman"/>
          <w:b/>
          <w:bCs/>
          <w:sz w:val="28"/>
          <w:szCs w:val="28"/>
        </w:rPr>
        <w:t>Штормове попередження</w:t>
      </w:r>
    </w:p>
    <w:p w14:paraId="694B1A3C" w14:textId="4B2E99F2" w:rsidR="004266B6" w:rsidRPr="004266B6" w:rsidRDefault="004266B6" w:rsidP="004266B6">
      <w:pPr>
        <w:rPr>
          <w:rFonts w:ascii="Times New Roman" w:hAnsi="Times New Roman" w:cs="Times New Roman"/>
          <w:sz w:val="28"/>
          <w:szCs w:val="28"/>
        </w:rPr>
      </w:pPr>
      <w:r w:rsidRPr="004266B6">
        <w:rPr>
          <w:rFonts w:ascii="Times New Roman" w:hAnsi="Times New Roman" w:cs="Times New Roman"/>
          <w:sz w:val="28"/>
          <w:szCs w:val="28"/>
        </w:rPr>
        <w:t>Протягом ночі та ранку 11 листопада очікується туман з видимістю 100-500 метрів. 1 рівень небезпечності, жовтий.</w:t>
      </w:r>
    </w:p>
    <w:p w14:paraId="03794D0A" w14:textId="77777777" w:rsidR="001A48A4" w:rsidRPr="004266B6" w:rsidRDefault="001A48A4" w:rsidP="004266B6">
      <w:pPr>
        <w:rPr>
          <w:rFonts w:ascii="Times New Roman" w:hAnsi="Times New Roman" w:cs="Times New Roman"/>
          <w:sz w:val="28"/>
          <w:szCs w:val="28"/>
        </w:rPr>
      </w:pPr>
    </w:p>
    <w:sectPr w:rsidR="001A48A4" w:rsidRPr="004266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65"/>
    <w:rsid w:val="001A48A4"/>
    <w:rsid w:val="004266B6"/>
    <w:rsid w:val="008C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FABB"/>
  <w15:chartTrackingRefBased/>
  <w15:docId w15:val="{E8E15E76-6BCE-4751-9932-A28A9875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266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266B6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50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2021-11-10T15:08:00Z</dcterms:created>
  <dcterms:modified xsi:type="dcterms:W3CDTF">2021-11-10T15:10:00Z</dcterms:modified>
</cp:coreProperties>
</file>