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39" w:rsidRPr="004A598B" w:rsidRDefault="004A598B" w:rsidP="004A598B">
      <w:pPr>
        <w:spacing w:after="0" w:line="240" w:lineRule="auto"/>
        <w:ind w:left="284" w:firstLine="181"/>
        <w:jc w:val="right"/>
        <w:rPr>
          <w:rFonts w:ascii="Arial" w:eastAsia="Times New Roman" w:hAnsi="Arial" w:cs="Arial"/>
          <w:bCs/>
          <w:sz w:val="24"/>
          <w:szCs w:val="24"/>
          <w:lang w:eastAsia="uk-UA"/>
        </w:rPr>
      </w:pPr>
      <w:r w:rsidRPr="004A598B">
        <w:rPr>
          <w:rFonts w:ascii="Arial" w:eastAsia="Times New Roman" w:hAnsi="Arial" w:cs="Arial"/>
          <w:bCs/>
          <w:sz w:val="24"/>
          <w:szCs w:val="24"/>
          <w:lang w:eastAsia="uk-UA"/>
        </w:rPr>
        <w:t>Додаток 1</w:t>
      </w:r>
    </w:p>
    <w:p w:rsidR="00AA4039" w:rsidRPr="00AA4039" w:rsidRDefault="00AA4039" w:rsidP="00AA4039">
      <w:pPr>
        <w:spacing w:after="0" w:line="240" w:lineRule="auto"/>
        <w:ind w:left="284" w:firstLine="181"/>
        <w:jc w:val="center"/>
        <w:rPr>
          <w:rFonts w:ascii="Arial" w:eastAsia="Times New Roman" w:hAnsi="Arial" w:cs="Arial"/>
          <w:b/>
          <w:bCs/>
          <w:sz w:val="24"/>
          <w:szCs w:val="24"/>
          <w:lang w:eastAsia="uk-UA"/>
        </w:rPr>
      </w:pPr>
      <w:r w:rsidRPr="00AA4039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Стра</w:t>
      </w:r>
      <w:bookmarkStart w:id="0" w:name="_GoBack"/>
      <w:bookmarkEnd w:id="0"/>
      <w:r w:rsidRPr="00AA4039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тегічні, операційні цілі та завдання</w:t>
      </w:r>
    </w:p>
    <w:p w:rsidR="00AA4039" w:rsidRPr="00AA4039" w:rsidRDefault="00AA4039" w:rsidP="00AA4039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uk-UA"/>
        </w:rPr>
      </w:pPr>
    </w:p>
    <w:p w:rsidR="00AA4039" w:rsidRPr="00AA4039" w:rsidRDefault="00AA4039" w:rsidP="00AA4039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uk-UA"/>
        </w:rPr>
      </w:pPr>
    </w:p>
    <w:tbl>
      <w:tblPr>
        <w:tblStyle w:val="2"/>
        <w:tblpPr w:leftFromText="180" w:rightFromText="180" w:vertAnchor="text" w:tblpY="1"/>
        <w:tblOverlap w:val="never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6237"/>
      </w:tblGrid>
      <w:tr w:rsidR="00AA4039" w:rsidRPr="00AA4039" w:rsidTr="00AA4039">
        <w:tc>
          <w:tcPr>
            <w:tcW w:w="1384" w:type="dxa"/>
            <w:tcBorders>
              <w:bottom w:val="single" w:sz="4" w:space="0" w:color="auto"/>
            </w:tcBorders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b/>
                <w:sz w:val="24"/>
                <w:szCs w:val="24"/>
                <w:lang w:eastAsia="uk-UA"/>
              </w:rPr>
              <w:t xml:space="preserve">Стратегічний напрям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b/>
                <w:sz w:val="24"/>
                <w:szCs w:val="24"/>
                <w:lang w:eastAsia="uk-UA"/>
              </w:rPr>
              <w:t xml:space="preserve">Операційна ціль 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b/>
                <w:sz w:val="24"/>
                <w:szCs w:val="24"/>
                <w:lang w:eastAsia="uk-UA"/>
              </w:rPr>
              <w:t xml:space="preserve">Завдання </w:t>
            </w:r>
          </w:p>
        </w:tc>
      </w:tr>
      <w:tr w:rsidR="00AA4039" w:rsidRPr="00AA4039" w:rsidTr="00AA4039">
        <w:tc>
          <w:tcPr>
            <w:tcW w:w="1384" w:type="dxa"/>
            <w:vMerge w:val="restart"/>
            <w:shd w:val="clear" w:color="auto" w:fill="DBE5F1" w:themeFill="accent1" w:themeFillTint="33"/>
            <w:textDirection w:val="btLr"/>
          </w:tcPr>
          <w:p w:rsidR="00AA4039" w:rsidRPr="00AA4039" w:rsidRDefault="00AA4039" w:rsidP="00AA4039">
            <w:pPr>
              <w:numPr>
                <w:ilvl w:val="0"/>
                <w:numId w:val="1"/>
              </w:numPr>
              <w:ind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039">
              <w:rPr>
                <w:rFonts w:ascii="Arial" w:hAnsi="Arial" w:cs="Arial"/>
                <w:b/>
                <w:sz w:val="24"/>
                <w:szCs w:val="24"/>
              </w:rPr>
              <w:t>Конкурентоспроможна економіка</w:t>
            </w:r>
          </w:p>
          <w:p w:rsidR="00AA4039" w:rsidRPr="00AA4039" w:rsidRDefault="00AA4039" w:rsidP="00AA403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b/>
                <w:sz w:val="24"/>
                <w:szCs w:val="24"/>
                <w:lang w:eastAsia="uk-UA"/>
              </w:rPr>
              <w:t xml:space="preserve">на засадах </w:t>
            </w:r>
            <w:proofErr w:type="spellStart"/>
            <w:r w:rsidRPr="00AA4039">
              <w:rPr>
                <w:rFonts w:ascii="Arial" w:hAnsi="Arial" w:cs="Arial"/>
                <w:b/>
                <w:sz w:val="24"/>
                <w:szCs w:val="24"/>
                <w:lang w:eastAsia="uk-UA"/>
              </w:rPr>
              <w:t>смарт-спеціалізації</w:t>
            </w:r>
            <w:proofErr w:type="spellEnd"/>
          </w:p>
        </w:tc>
        <w:tc>
          <w:tcPr>
            <w:tcW w:w="1985" w:type="dxa"/>
            <w:vMerge w:val="restart"/>
            <w:shd w:val="clear" w:color="auto" w:fill="DBE5F1" w:themeFill="accent1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 xml:space="preserve">1.1. Стимулювання розвитку інноваційних видів економічної діяльності, залучення інвестицій  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A4039" w:rsidRPr="00AA4039" w:rsidRDefault="00AA4039" w:rsidP="00AA4039">
            <w:pPr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1.1.1.Розвиток інноваційної складової видів економічної діяльності зі значним потенціалом (у сфері деревообробки, хімічної промисловості, агропромислового комплексу та креативних індустрій, тощо)</w:t>
            </w:r>
          </w:p>
        </w:tc>
      </w:tr>
      <w:tr w:rsidR="00AA4039" w:rsidRPr="00AA4039" w:rsidTr="00AA4039">
        <w:tc>
          <w:tcPr>
            <w:tcW w:w="1384" w:type="dxa"/>
            <w:vMerge/>
            <w:shd w:val="clear" w:color="auto" w:fill="DBE5F1" w:themeFill="accent1" w:themeFillTint="33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1.1.2. Підготовка та супровід інвестиційних проектів (створення індустріальних, технологічних парків)</w:t>
            </w:r>
          </w:p>
        </w:tc>
      </w:tr>
      <w:tr w:rsidR="00AA4039" w:rsidRPr="00AA4039" w:rsidTr="00AA4039">
        <w:tc>
          <w:tcPr>
            <w:tcW w:w="1384" w:type="dxa"/>
            <w:vMerge/>
            <w:shd w:val="clear" w:color="auto" w:fill="DBE5F1" w:themeFill="accent1" w:themeFillTint="33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 xml:space="preserve">1.1.3.Підвищення інвестиційної привабливості та міжнародна промоція регіону </w:t>
            </w:r>
          </w:p>
        </w:tc>
      </w:tr>
      <w:tr w:rsidR="00AA4039" w:rsidRPr="00AA4039" w:rsidTr="00AA4039">
        <w:tc>
          <w:tcPr>
            <w:tcW w:w="1384" w:type="dxa"/>
            <w:vMerge/>
            <w:shd w:val="clear" w:color="auto" w:fill="DBE5F1" w:themeFill="accent1" w:themeFillTint="33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 xml:space="preserve">1.1.4. Розвиток малого і середнього підприємництва в т.ч. ініціатив людей з інвалідністю та молоді (кластери, науково-технологічні парки, мережі, </w:t>
            </w:r>
            <w:proofErr w:type="spellStart"/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хаби</w:t>
            </w:r>
            <w:proofErr w:type="spellEnd"/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 xml:space="preserve"> та інші)</w:t>
            </w:r>
          </w:p>
        </w:tc>
      </w:tr>
      <w:tr w:rsidR="00AA4039" w:rsidRPr="00AA4039" w:rsidTr="00AA4039">
        <w:tc>
          <w:tcPr>
            <w:tcW w:w="1384" w:type="dxa"/>
            <w:vMerge/>
            <w:shd w:val="clear" w:color="auto" w:fill="DBE5F1" w:themeFill="accent1" w:themeFillTint="33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 w:val="restart"/>
            <w:shd w:val="clear" w:color="auto" w:fill="DBE5F1" w:themeFill="accent1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 xml:space="preserve">1.2. Енергетична </w:t>
            </w:r>
            <w:r w:rsidRPr="00AA4039">
              <w:rPr>
                <w:rFonts w:ascii="Arial" w:hAnsi="Arial" w:cs="Arial"/>
                <w:sz w:val="23"/>
                <w:szCs w:val="23"/>
                <w:lang w:eastAsia="uk-UA"/>
              </w:rPr>
              <w:t xml:space="preserve">самодостатність 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1.2.1.Розвиток альтернативної енергетики</w:t>
            </w:r>
          </w:p>
        </w:tc>
      </w:tr>
      <w:tr w:rsidR="00AA4039" w:rsidRPr="00AA4039" w:rsidTr="00AA4039">
        <w:tc>
          <w:tcPr>
            <w:tcW w:w="1384" w:type="dxa"/>
            <w:vMerge/>
            <w:shd w:val="clear" w:color="auto" w:fill="DBE5F1" w:themeFill="accent1" w:themeFillTint="33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 xml:space="preserve">1.2.2.Формування </w:t>
            </w:r>
            <w:proofErr w:type="spellStart"/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енергоефективного</w:t>
            </w:r>
            <w:proofErr w:type="spellEnd"/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 xml:space="preserve"> суспільства</w:t>
            </w:r>
          </w:p>
        </w:tc>
      </w:tr>
      <w:tr w:rsidR="00AA4039" w:rsidRPr="00AA4039" w:rsidTr="00AA4039">
        <w:trPr>
          <w:trHeight w:val="327"/>
        </w:trPr>
        <w:tc>
          <w:tcPr>
            <w:tcW w:w="1384" w:type="dxa"/>
            <w:vMerge/>
            <w:shd w:val="clear" w:color="auto" w:fill="DBE5F1" w:themeFill="accent1" w:themeFillTint="33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 w:val="restart"/>
            <w:shd w:val="clear" w:color="auto" w:fill="DBE5F1" w:themeFill="accent1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1.3. Розвиток туристично-рекреаційної сфери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1.3.1. Розвиток туристичної  інфраструктури та навігації</w:t>
            </w:r>
          </w:p>
        </w:tc>
      </w:tr>
      <w:tr w:rsidR="00AA4039" w:rsidRPr="00AA4039" w:rsidTr="00AA4039">
        <w:trPr>
          <w:trHeight w:val="545"/>
        </w:trPr>
        <w:tc>
          <w:tcPr>
            <w:tcW w:w="1384" w:type="dxa"/>
            <w:vMerge/>
            <w:shd w:val="clear" w:color="auto" w:fill="DBE5F1" w:themeFill="accent1" w:themeFillTint="33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1.3.2.  Збереження та управління природною та культурною спадщиною</w:t>
            </w:r>
          </w:p>
        </w:tc>
      </w:tr>
      <w:tr w:rsidR="00AA4039" w:rsidRPr="00AA4039" w:rsidTr="00AA4039">
        <w:tc>
          <w:tcPr>
            <w:tcW w:w="1384" w:type="dxa"/>
            <w:vMerge/>
            <w:shd w:val="clear" w:color="auto" w:fill="DBE5F1" w:themeFill="accent1" w:themeFillTint="33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1.3.3. Створення нових та підтримка  існуючих туристичних продуктів і атракцій  у т.ч. на гірських територіях, їх доступність для людей з інвалідністю</w:t>
            </w:r>
          </w:p>
        </w:tc>
      </w:tr>
      <w:tr w:rsidR="00AA4039" w:rsidRPr="00AA4039" w:rsidTr="00AA4039">
        <w:tc>
          <w:tcPr>
            <w:tcW w:w="1384" w:type="dxa"/>
            <w:vMerge/>
            <w:shd w:val="clear" w:color="auto" w:fill="DBE5F1" w:themeFill="accent1" w:themeFillTint="33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 xml:space="preserve">1.3.4. Маркетинг туристичного потенціалу Івано-Франківської області  </w:t>
            </w:r>
          </w:p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</w:tc>
      </w:tr>
      <w:tr w:rsidR="00AA4039" w:rsidRPr="00AA4039" w:rsidTr="00AA4039">
        <w:tc>
          <w:tcPr>
            <w:tcW w:w="1384" w:type="dxa"/>
            <w:vMerge/>
            <w:shd w:val="clear" w:color="auto" w:fill="DBE5F1" w:themeFill="accent1" w:themeFillTint="33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 w:val="restart"/>
            <w:shd w:val="clear" w:color="auto" w:fill="DBE5F1" w:themeFill="accent1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1.4. Стимулювання економічного розвитку громад, сільських та гірських територій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1.4.1.Розвиток фермерських господарств та сільськогосподарських обслуговуючих кооперативів,  виробництва органічної сільськогосподарської продукції</w:t>
            </w:r>
          </w:p>
          <w:p w:rsidR="00AA4039" w:rsidRPr="00AA4039" w:rsidRDefault="00AA4039" w:rsidP="00AA4039">
            <w:pPr>
              <w:rPr>
                <w:rFonts w:ascii="Arial" w:hAnsi="Arial" w:cs="Arial"/>
                <w:sz w:val="16"/>
                <w:szCs w:val="16"/>
                <w:lang w:eastAsia="uk-UA"/>
              </w:rPr>
            </w:pPr>
          </w:p>
        </w:tc>
      </w:tr>
      <w:tr w:rsidR="00AA4039" w:rsidRPr="00AA4039" w:rsidTr="00AA4039">
        <w:tc>
          <w:tcPr>
            <w:tcW w:w="1384" w:type="dxa"/>
            <w:vMerge/>
            <w:shd w:val="clear" w:color="auto" w:fill="DBE5F1" w:themeFill="accent1" w:themeFillTint="33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1.4.2.  Розвиток та технологічне переоснащення підприємств сільського господарського виробництва,  створення інфраструктури для зберігання, сортування та переробки сільгосппродукції</w:t>
            </w:r>
          </w:p>
          <w:p w:rsidR="00AA4039" w:rsidRPr="00AA4039" w:rsidRDefault="00AA4039" w:rsidP="00AA4039">
            <w:pPr>
              <w:rPr>
                <w:rFonts w:ascii="Arial" w:hAnsi="Arial" w:cs="Arial"/>
                <w:sz w:val="16"/>
                <w:szCs w:val="16"/>
                <w:lang w:eastAsia="uk-UA"/>
              </w:rPr>
            </w:pPr>
          </w:p>
        </w:tc>
      </w:tr>
      <w:tr w:rsidR="00AA4039" w:rsidRPr="00AA4039" w:rsidTr="00AA4039">
        <w:tc>
          <w:tcPr>
            <w:tcW w:w="1384" w:type="dxa"/>
            <w:vMerge/>
            <w:shd w:val="clear" w:color="auto" w:fill="DBE5F1" w:themeFill="accent1" w:themeFillTint="33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1.4.3. Покращення інструментів просторового планування</w:t>
            </w:r>
          </w:p>
        </w:tc>
      </w:tr>
      <w:tr w:rsidR="00AA4039" w:rsidRPr="00AA4039" w:rsidTr="00AA4039"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1.4.4. Підвищення фінансової спроможності громад в т.ч. через розвиток малого бізнесу</w:t>
            </w:r>
          </w:p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</w:tc>
      </w:tr>
      <w:tr w:rsidR="00AA4039" w:rsidRPr="00AA4039" w:rsidTr="00AA4039">
        <w:tc>
          <w:tcPr>
            <w:tcW w:w="1384" w:type="dxa"/>
            <w:vMerge w:val="restart"/>
            <w:shd w:val="clear" w:color="auto" w:fill="FFFFCC"/>
            <w:textDirection w:val="btLr"/>
          </w:tcPr>
          <w:p w:rsidR="00AA4039" w:rsidRPr="00AA4039" w:rsidRDefault="00AA4039" w:rsidP="00AA403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b/>
                <w:sz w:val="24"/>
                <w:szCs w:val="24"/>
                <w:lang w:eastAsia="uk-UA"/>
              </w:rPr>
              <w:t>2. Розвиток інфраструктури області</w:t>
            </w:r>
          </w:p>
        </w:tc>
        <w:tc>
          <w:tcPr>
            <w:tcW w:w="1985" w:type="dxa"/>
            <w:vMerge w:val="restart"/>
            <w:shd w:val="clear" w:color="auto" w:fill="FFFFCC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 xml:space="preserve">2.1. Розвиток  </w:t>
            </w:r>
            <w:proofErr w:type="spellStart"/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дорожньо-</w:t>
            </w:r>
            <w:proofErr w:type="spellEnd"/>
          </w:p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транспортної, логістичної, прикордонної інфраструктури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FFFFCC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 xml:space="preserve">2.1.1.Будівництво, реконструкція, капітальний  ремонт  мостів і  автомобільних доріг  загального користування державного та місцевого значення </w:t>
            </w:r>
          </w:p>
        </w:tc>
      </w:tr>
      <w:tr w:rsidR="00AA4039" w:rsidRPr="00AA4039" w:rsidTr="00AA4039">
        <w:tc>
          <w:tcPr>
            <w:tcW w:w="1384" w:type="dxa"/>
            <w:vMerge/>
            <w:shd w:val="clear" w:color="auto" w:fill="FFFFCC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FFFFCC"/>
          </w:tcPr>
          <w:p w:rsidR="00AA4039" w:rsidRPr="00AA4039" w:rsidRDefault="00AA4039" w:rsidP="00AA4039">
            <w:pPr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FFFFCC"/>
          </w:tcPr>
          <w:p w:rsidR="00AA4039" w:rsidRPr="00AA4039" w:rsidRDefault="00AA4039" w:rsidP="00AA4039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2.1.2.Розвиток </w:t>
            </w:r>
            <w:proofErr w:type="spellStart"/>
            <w:r w:rsidRPr="00AA4039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траспортно-логістичної</w:t>
            </w:r>
            <w:proofErr w:type="spellEnd"/>
            <w:r w:rsidRPr="00AA4039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прикордонної  інфраструктури, модернізація Міжнародного аеропорту «Івано-Франківськ»</w:t>
            </w:r>
          </w:p>
        </w:tc>
      </w:tr>
      <w:tr w:rsidR="00AA4039" w:rsidRPr="00AA4039" w:rsidTr="00AA4039">
        <w:tc>
          <w:tcPr>
            <w:tcW w:w="1384" w:type="dxa"/>
            <w:vMerge/>
            <w:shd w:val="clear" w:color="auto" w:fill="FFFFCC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FFFFCC"/>
          </w:tcPr>
          <w:p w:rsidR="00AA4039" w:rsidRPr="00AA4039" w:rsidRDefault="00AA4039" w:rsidP="00AA4039">
            <w:pPr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FFFFCC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 xml:space="preserve">2.1.3.Безпека транспортної інфраструктури </w:t>
            </w:r>
          </w:p>
        </w:tc>
      </w:tr>
      <w:tr w:rsidR="00AA4039" w:rsidRPr="00AA4039" w:rsidTr="00AA4039">
        <w:trPr>
          <w:trHeight w:val="361"/>
        </w:trPr>
        <w:tc>
          <w:tcPr>
            <w:tcW w:w="1384" w:type="dxa"/>
            <w:vMerge/>
            <w:shd w:val="clear" w:color="auto" w:fill="FFFFCC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FFFFCC"/>
          </w:tcPr>
          <w:p w:rsidR="00AA4039" w:rsidRPr="00AA4039" w:rsidRDefault="00AA4039" w:rsidP="00AA4039">
            <w:pPr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FFFFCC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2.1.4.Розвиток придорожньої інфраструктури в т.ч. для людей з інвалідністю</w:t>
            </w:r>
          </w:p>
        </w:tc>
      </w:tr>
      <w:tr w:rsidR="00AA4039" w:rsidRPr="00AA4039" w:rsidTr="00AA4039">
        <w:tc>
          <w:tcPr>
            <w:tcW w:w="1384" w:type="dxa"/>
            <w:vMerge/>
            <w:shd w:val="clear" w:color="auto" w:fill="FFFFCC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 w:val="restart"/>
            <w:shd w:val="clear" w:color="auto" w:fill="FFFFCC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2.2. Розвиток інфраструктури територіальних громад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FFFFCC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2.2.1.Забезпечення якісними адміністративними послугами в об’єднаних територіальних громадах в т.ч. для людей з інвалідністю</w:t>
            </w:r>
          </w:p>
        </w:tc>
      </w:tr>
      <w:tr w:rsidR="00AA4039" w:rsidRPr="00AA4039" w:rsidTr="00AA4039">
        <w:tc>
          <w:tcPr>
            <w:tcW w:w="1384" w:type="dxa"/>
            <w:vMerge/>
            <w:shd w:val="clear" w:color="auto" w:fill="FFFFCC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FFFFCC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FFFFCC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2.2.2.Покращення житлово-комунальної інфраструктури</w:t>
            </w:r>
          </w:p>
        </w:tc>
      </w:tr>
      <w:tr w:rsidR="00AA4039" w:rsidRPr="00AA4039" w:rsidTr="00AA4039">
        <w:trPr>
          <w:trHeight w:val="598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2.2.3. Розвиток інформаційно-комунікаційної інфраструктури громад</w:t>
            </w:r>
          </w:p>
        </w:tc>
      </w:tr>
      <w:tr w:rsidR="00AA4039" w:rsidRPr="00AA4039" w:rsidTr="00AA4039">
        <w:tc>
          <w:tcPr>
            <w:tcW w:w="1384" w:type="dxa"/>
            <w:vMerge w:val="restart"/>
            <w:shd w:val="clear" w:color="auto" w:fill="F2DBDB" w:themeFill="accent2" w:themeFillTint="33"/>
            <w:textDirection w:val="btLr"/>
          </w:tcPr>
          <w:p w:rsidR="00AA4039" w:rsidRPr="00AA4039" w:rsidRDefault="00AA4039" w:rsidP="00AA403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039">
              <w:rPr>
                <w:rFonts w:ascii="Arial" w:hAnsi="Arial" w:cs="Arial"/>
                <w:b/>
                <w:sz w:val="24"/>
                <w:szCs w:val="24"/>
                <w:lang w:eastAsia="uk-UA"/>
              </w:rPr>
              <w:t xml:space="preserve">3. </w:t>
            </w:r>
            <w:r w:rsidRPr="00AA4039">
              <w:rPr>
                <w:rFonts w:ascii="Arial" w:hAnsi="Arial" w:cs="Arial"/>
                <w:b/>
                <w:sz w:val="24"/>
                <w:szCs w:val="24"/>
              </w:rPr>
              <w:t>Створення комфортних та безпечних</w:t>
            </w:r>
          </w:p>
          <w:p w:rsidR="00AA4039" w:rsidRPr="00AA4039" w:rsidRDefault="00AA4039" w:rsidP="00AA4039">
            <w:pPr>
              <w:ind w:left="473" w:right="11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039">
              <w:rPr>
                <w:rFonts w:ascii="Arial" w:hAnsi="Arial" w:cs="Arial"/>
                <w:b/>
                <w:sz w:val="24"/>
                <w:szCs w:val="24"/>
              </w:rPr>
              <w:t>умов проживання на території Івано-Франківської області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3.1. Забезпечення рівного доступу, підвищення якості медичних, освітніх послуг та розвиток спорту в громадах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3.1.1. Підвищення якості та доступності медичних послуг: будівництво, реконструкція та покращення матеріально-технічної бази закладів охорони здоров’я</w:t>
            </w:r>
          </w:p>
        </w:tc>
      </w:tr>
      <w:tr w:rsidR="00AA4039" w:rsidRPr="00AA4039" w:rsidTr="00AA4039">
        <w:trPr>
          <w:trHeight w:val="282"/>
        </w:trPr>
        <w:tc>
          <w:tcPr>
            <w:tcW w:w="1384" w:type="dxa"/>
            <w:vMerge/>
            <w:shd w:val="clear" w:color="auto" w:fill="F2DBDB" w:themeFill="accent2" w:themeFillTint="33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3.1.2. Підвищення якості та доступності освітніх послуг:  будівництво, реконструкція та покращення матеріально-технічної бази закладів освіти</w:t>
            </w:r>
          </w:p>
        </w:tc>
      </w:tr>
      <w:tr w:rsidR="00AA4039" w:rsidRPr="00AA4039" w:rsidTr="00AA4039">
        <w:tc>
          <w:tcPr>
            <w:tcW w:w="1384" w:type="dxa"/>
            <w:vMerge/>
            <w:shd w:val="clear" w:color="auto" w:fill="F2DBDB" w:themeFill="accent2" w:themeFillTint="33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3.1.3. Створення умов для інтеграції системи закладів вищої освіти у європейський освітній простір, підтримка міжнародних обмінів студентами, аспірантами, викладачами</w:t>
            </w:r>
          </w:p>
        </w:tc>
      </w:tr>
      <w:tr w:rsidR="00AA4039" w:rsidRPr="00AA4039" w:rsidTr="00AA4039">
        <w:tc>
          <w:tcPr>
            <w:tcW w:w="1384" w:type="dxa"/>
            <w:vMerge/>
            <w:shd w:val="clear" w:color="auto" w:fill="F2DBDB" w:themeFill="accent2" w:themeFillTint="33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3.1.4. Розвиток спортивної інфраструктури громад області</w:t>
            </w:r>
          </w:p>
        </w:tc>
      </w:tr>
      <w:tr w:rsidR="00AA4039" w:rsidRPr="00AA4039" w:rsidTr="00AA4039">
        <w:tc>
          <w:tcPr>
            <w:tcW w:w="1384" w:type="dxa"/>
            <w:vMerge/>
            <w:shd w:val="clear" w:color="auto" w:fill="F2DBDB" w:themeFill="accent2" w:themeFillTint="33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3.1.5. Розвиток масового спорту та спорту  вищих досягнень</w:t>
            </w:r>
          </w:p>
        </w:tc>
      </w:tr>
      <w:tr w:rsidR="00AA4039" w:rsidRPr="00AA4039" w:rsidTr="00AA4039">
        <w:tc>
          <w:tcPr>
            <w:tcW w:w="1384" w:type="dxa"/>
            <w:vMerge/>
            <w:shd w:val="clear" w:color="auto" w:fill="F2DBDB" w:themeFill="accent2" w:themeFillTint="33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 w:val="restart"/>
            <w:shd w:val="clear" w:color="auto" w:fill="F2DBDB" w:themeFill="accent2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3.2. Розвиток соціальної інфраструктури та інклюзії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3.2.1.  Вдосконалення системи надання соціальних послуг</w:t>
            </w:r>
          </w:p>
        </w:tc>
      </w:tr>
      <w:tr w:rsidR="00AA4039" w:rsidRPr="00AA4039" w:rsidTr="00AA4039">
        <w:tc>
          <w:tcPr>
            <w:tcW w:w="1384" w:type="dxa"/>
            <w:vMerge/>
            <w:shd w:val="clear" w:color="auto" w:fill="F2DBDB" w:themeFill="accent2" w:themeFillTint="33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3.2.2. Розвиток якісного інклюзивного середовища</w:t>
            </w:r>
          </w:p>
        </w:tc>
      </w:tr>
      <w:tr w:rsidR="00AA4039" w:rsidRPr="00AA4039" w:rsidTr="00AA4039">
        <w:tc>
          <w:tcPr>
            <w:tcW w:w="1384" w:type="dxa"/>
            <w:vMerge/>
            <w:shd w:val="clear" w:color="auto" w:fill="F2DBDB" w:themeFill="accent2" w:themeFillTint="33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 xml:space="preserve">3.2.3. Створення </w:t>
            </w:r>
            <w:proofErr w:type="spellStart"/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безбар’єрного</w:t>
            </w:r>
            <w:proofErr w:type="spellEnd"/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 xml:space="preserve"> простору</w:t>
            </w:r>
          </w:p>
        </w:tc>
      </w:tr>
      <w:tr w:rsidR="00AA4039" w:rsidRPr="00AA4039" w:rsidTr="00AA4039">
        <w:tc>
          <w:tcPr>
            <w:tcW w:w="1384" w:type="dxa"/>
            <w:vMerge/>
            <w:shd w:val="clear" w:color="auto" w:fill="F2DBDB" w:themeFill="accent2" w:themeFillTint="33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 w:val="restart"/>
            <w:shd w:val="clear" w:color="auto" w:fill="F2DBDB" w:themeFill="accent2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 xml:space="preserve">3.3. Розвиток мережі закладів культури 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 xml:space="preserve">3.3.1. Створення, реконструкція, модернізація та реновація закладів культури області </w:t>
            </w:r>
          </w:p>
        </w:tc>
      </w:tr>
      <w:tr w:rsidR="00AA4039" w:rsidRPr="00AA4039" w:rsidTr="00AA4039">
        <w:tc>
          <w:tcPr>
            <w:tcW w:w="1384" w:type="dxa"/>
            <w:vMerge/>
            <w:shd w:val="clear" w:color="auto" w:fill="F2DBDB" w:themeFill="accent2" w:themeFillTint="33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3.3.2. Формування та впровадження ідеології культури для дітей та молоді</w:t>
            </w:r>
          </w:p>
        </w:tc>
      </w:tr>
      <w:tr w:rsidR="00AA4039" w:rsidRPr="00AA4039" w:rsidTr="00AA4039">
        <w:tc>
          <w:tcPr>
            <w:tcW w:w="1384" w:type="dxa"/>
            <w:vMerge/>
            <w:shd w:val="clear" w:color="auto" w:fill="F2DBDB" w:themeFill="accent2" w:themeFillTint="33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 w:val="restart"/>
            <w:shd w:val="clear" w:color="auto" w:fill="F2DBDB" w:themeFill="accent2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 xml:space="preserve">3.4 Підвищення рівня екологічної безпеки 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3.4.1. Створення системи поводження з твердими побутовими відходами</w:t>
            </w:r>
          </w:p>
        </w:tc>
      </w:tr>
      <w:tr w:rsidR="00AA4039" w:rsidRPr="00AA4039" w:rsidTr="00AA4039">
        <w:tc>
          <w:tcPr>
            <w:tcW w:w="1384" w:type="dxa"/>
            <w:vMerge/>
            <w:shd w:val="clear" w:color="auto" w:fill="F2DBDB" w:themeFill="accent2" w:themeFillTint="33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3.4.2.  Зменшення забруднення водних об’єктів та ґрунтів, покращення санітарного та екологічного стану населених пунктів</w:t>
            </w:r>
          </w:p>
        </w:tc>
      </w:tr>
      <w:tr w:rsidR="00AA4039" w:rsidRPr="00AA4039" w:rsidTr="00AA4039">
        <w:tc>
          <w:tcPr>
            <w:tcW w:w="1384" w:type="dxa"/>
            <w:vMerge/>
            <w:shd w:val="clear" w:color="auto" w:fill="F2DBDB" w:themeFill="accent2" w:themeFillTint="33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 xml:space="preserve">3.4.3. Забезпечення якісною питною водою жителів області  </w:t>
            </w:r>
          </w:p>
        </w:tc>
      </w:tr>
      <w:tr w:rsidR="00AA4039" w:rsidRPr="00AA4039" w:rsidTr="00AA4039">
        <w:tc>
          <w:tcPr>
            <w:tcW w:w="1384" w:type="dxa"/>
            <w:vMerge/>
            <w:shd w:val="clear" w:color="auto" w:fill="F2DBDB" w:themeFill="accent2" w:themeFillTint="33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>3.4.4. Забезпечення цивільного захисту населення області</w:t>
            </w:r>
          </w:p>
        </w:tc>
      </w:tr>
      <w:tr w:rsidR="00AA4039" w:rsidRPr="00AA4039" w:rsidTr="00AA4039">
        <w:tc>
          <w:tcPr>
            <w:tcW w:w="1384" w:type="dxa"/>
            <w:vMerge/>
            <w:shd w:val="clear" w:color="auto" w:fill="F2DBDB" w:themeFill="accent2" w:themeFillTint="33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AA4039" w:rsidRPr="00AA4039" w:rsidRDefault="00AA4039" w:rsidP="00AA403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AA4039" w:rsidRPr="00AA4039" w:rsidRDefault="00AA4039" w:rsidP="00AA4039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A4039">
              <w:rPr>
                <w:rFonts w:ascii="Arial" w:hAnsi="Arial" w:cs="Arial"/>
                <w:sz w:val="24"/>
                <w:szCs w:val="24"/>
                <w:lang w:eastAsia="uk-UA"/>
              </w:rPr>
              <w:t xml:space="preserve">3.4.5.  Збереження та розширення природних територій та об’єктів природо-заповідного фонду, відновлення лісів </w:t>
            </w:r>
          </w:p>
        </w:tc>
      </w:tr>
    </w:tbl>
    <w:p w:rsidR="003E6481" w:rsidRDefault="003E6481"/>
    <w:sectPr w:rsidR="003E64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F3E8F"/>
    <w:multiLevelType w:val="hybridMultilevel"/>
    <w:tmpl w:val="1F62711E"/>
    <w:lvl w:ilvl="0" w:tplc="1E76DA52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193" w:hanging="360"/>
      </w:pPr>
    </w:lvl>
    <w:lvl w:ilvl="2" w:tplc="0422001B">
      <w:start w:val="1"/>
      <w:numFmt w:val="lowerRoman"/>
      <w:lvlText w:val="%3."/>
      <w:lvlJc w:val="right"/>
      <w:pPr>
        <w:ind w:left="1913" w:hanging="180"/>
      </w:pPr>
    </w:lvl>
    <w:lvl w:ilvl="3" w:tplc="0422000F">
      <w:start w:val="1"/>
      <w:numFmt w:val="decimal"/>
      <w:lvlText w:val="%4."/>
      <w:lvlJc w:val="left"/>
      <w:pPr>
        <w:ind w:left="2633" w:hanging="360"/>
      </w:pPr>
    </w:lvl>
    <w:lvl w:ilvl="4" w:tplc="04220019">
      <w:start w:val="1"/>
      <w:numFmt w:val="lowerLetter"/>
      <w:lvlText w:val="%5."/>
      <w:lvlJc w:val="left"/>
      <w:pPr>
        <w:ind w:left="3353" w:hanging="360"/>
      </w:pPr>
    </w:lvl>
    <w:lvl w:ilvl="5" w:tplc="0422001B">
      <w:start w:val="1"/>
      <w:numFmt w:val="lowerRoman"/>
      <w:lvlText w:val="%6."/>
      <w:lvlJc w:val="right"/>
      <w:pPr>
        <w:ind w:left="4073" w:hanging="180"/>
      </w:pPr>
    </w:lvl>
    <w:lvl w:ilvl="6" w:tplc="0422000F">
      <w:start w:val="1"/>
      <w:numFmt w:val="decimal"/>
      <w:lvlText w:val="%7."/>
      <w:lvlJc w:val="left"/>
      <w:pPr>
        <w:ind w:left="4793" w:hanging="360"/>
      </w:pPr>
    </w:lvl>
    <w:lvl w:ilvl="7" w:tplc="04220019">
      <w:start w:val="1"/>
      <w:numFmt w:val="lowerLetter"/>
      <w:lvlText w:val="%8."/>
      <w:lvlJc w:val="left"/>
      <w:pPr>
        <w:ind w:left="5513" w:hanging="360"/>
      </w:pPr>
    </w:lvl>
    <w:lvl w:ilvl="8" w:tplc="0422001B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39"/>
    <w:rsid w:val="000B08AC"/>
    <w:rsid w:val="000C29D9"/>
    <w:rsid w:val="003E6481"/>
    <w:rsid w:val="004A598B"/>
    <w:rsid w:val="00AA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ітка таблиці2"/>
    <w:uiPriority w:val="59"/>
    <w:rsid w:val="00AA4039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ітка таблиці2"/>
    <w:uiPriority w:val="59"/>
    <w:rsid w:val="00AA4039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2789</Words>
  <Characters>1590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user621</dc:creator>
  <cp:lastModifiedBy>Svitlana</cp:lastModifiedBy>
  <cp:revision>2</cp:revision>
  <cp:lastPrinted>2023-01-24T07:15:00Z</cp:lastPrinted>
  <dcterms:created xsi:type="dcterms:W3CDTF">2023-01-24T07:07:00Z</dcterms:created>
  <dcterms:modified xsi:type="dcterms:W3CDTF">2023-01-26T13:01:00Z</dcterms:modified>
</cp:coreProperties>
</file>