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A5" w:rsidRPr="002F7BA5" w:rsidRDefault="002F7BA5" w:rsidP="002F7BA5">
      <w:pPr>
        <w:spacing w:before="300" w:after="150" w:line="240" w:lineRule="auto"/>
        <w:outlineLvl w:val="0"/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</w:pPr>
      <w:r w:rsidRPr="002F7BA5"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  <w:t>Державна служба України з питань регуляторної політики та розвитку підприємництва інформує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bookmarkStart w:id="0" w:name="_GoBack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Державна служба України з питань регуляторної політики та розвитку підприємництва як уповноважений орган щодо здійснення державної регуляторної політики, керуючись вимогами статті 30 Закону України «Про засади державної регуляторної політики у сфері господарської діяльності»  від 11.09.2013 року №1160-IV (зі змінами та доповненнями), надає роз’яснення вимог законодавства про державну регуляторну політику щодо порядку та способів оприлюднення документів, підготовлених у процесі здійснення регуляторної діяльності.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 Порядок та способи оприлюднення документів, підготовлених у процесі здійснення регуляторної діяльності, визначено у статтях 9 та 13 Закону України «Про засади державної регуляторної політики у сфері господарської діяльності» (далі – Закон).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Згідно статті 13 Закону повідомлення про оприлюднення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(далі – повідомлення), проект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та відповідний аналіз регуляторного впливу (далі – АРВ) оприлюднюються шляхом опублікування у друкованих засобах масової інформації розробника цього документу, а у разі їх відсутності – у друкованих засобах масової інформації, визначених розробником цього проекту, та/або шляхом розміщення на офіційній сторінці розробника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в мережі Інтернет.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Непорозуміння найчастіше виникають при застосуванні кінцевої частини цієї норми, а саме, щодо можливості розміщення зазначених регуляторних документів тільки на офіційній сторінці розробника в мережі Інтернет.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У зв’язку з певною редакційною незрозумілістю, навіть у судовому порядку, приймаються протилежні за висновками рішення.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Держпідприємництво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України як уповноважений орган з питань реалізації державної регуляторної політики відповідно до повноважень,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визначенних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Положенням про Державну службу України з питань регуляторної політики та розвитку підприємництва, затвердженого Указом Президента України від 30.03.2013 року №237/2012, вважає, що при розгляді порушеного питання слід керуватись наступним.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При наявності у розробника як друкованого засобу масової інформації (далі – ДЗМІ), так і власної офіційної сторінки в мережі Інтернет, норма Закону дозволяє розробнику визначити на свій розсуд, яким способом оприлюднити проект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та відповідний АРВ.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lastRenderedPageBreak/>
        <w:t>Таким чином, розробник незалежно від наявності у нього власних ДЗМІ може оприлюднювати зазначені регуляторні документи:</w:t>
      </w:r>
    </w:p>
    <w:p w:rsidR="002F7BA5" w:rsidRPr="002F7BA5" w:rsidRDefault="002F7BA5" w:rsidP="002F7BA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у ДЗМІ та Інтернеті;</w:t>
      </w:r>
    </w:p>
    <w:p w:rsidR="002F7BA5" w:rsidRPr="002F7BA5" w:rsidRDefault="002F7BA5" w:rsidP="002F7BA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у ДЗМІ;</w:t>
      </w:r>
    </w:p>
    <w:p w:rsidR="002F7BA5" w:rsidRPr="002F7BA5" w:rsidRDefault="002F7BA5" w:rsidP="002F7BA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в Інтернеті.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ДЗМІ можуть бути власними або визначеними розробником. При визначенні розробником ДЗМІ перевага надається офіційним друкованим засобам масової інформації.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В мережі Інтернет проект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та АРВ розміщуються на офіційній сторінці розробника, або на офіційної сторінки в мережі Інтернет органу виконавчої влади, до сфери управління якого він належить (згідно постанови Кабінету Міністрів України від 04.01.2002 року №3 «Про порядок оприлюднення у мережі Інтернет інформації про діяльність органів влади»).</w:t>
      </w:r>
    </w:p>
    <w:p w:rsidR="002F7BA5" w:rsidRPr="002F7BA5" w:rsidRDefault="002F7BA5" w:rsidP="002F7BA5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Позиція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Держпідприємництва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України ґрунтується на наступному:</w:t>
      </w:r>
    </w:p>
    <w:p w:rsidR="002F7BA5" w:rsidRPr="002F7BA5" w:rsidRDefault="002F7BA5" w:rsidP="002F7BA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Статтею 9 Закону зафіксовано, що повідомлення повинно містити, зокрема, інформацію про спосіб оприлюднення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та відповідного АРВ. Зазначене свідчить про те, що способи оприлюднення повідомлення та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з АРВ можуть відрізнятися один від одного, що є підставою вважати надання Законом розробникові права на власний розсуд обирати спосіб оприлюднення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та відповідного АРВ.</w:t>
      </w:r>
    </w:p>
    <w:p w:rsidR="002F7BA5" w:rsidRPr="002F7BA5" w:rsidRDefault="002F7BA5" w:rsidP="002F7BA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Розміщення  проекту регуляторного </w:t>
      </w:r>
      <w:proofErr w:type="spellStart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акта</w:t>
      </w:r>
      <w:proofErr w:type="spellEnd"/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 xml:space="preserve"> з АРВ в мережі Інтернет не є обставиною, за якою регуляторний акт не може бути прийнятий або схвалений органом виконавчої влади (стаття 25 Закону) або органом місцевого самоврядування (стаття 36 Закону).</w:t>
      </w:r>
    </w:p>
    <w:p w:rsidR="002F7BA5" w:rsidRPr="002F7BA5" w:rsidRDefault="002F7BA5" w:rsidP="002F7BA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</w:pPr>
      <w:r w:rsidRPr="002F7BA5">
        <w:rPr>
          <w:rFonts w:ascii="san-serif" w:eastAsia="Times New Roman" w:hAnsi="san-serif" w:cs="Times New Roman"/>
          <w:color w:val="000000"/>
          <w:sz w:val="28"/>
          <w:szCs w:val="28"/>
          <w:lang w:eastAsia="uk-UA"/>
        </w:rPr>
        <w:t>Певну ясність вносить стаття 14 Закону , яка говорить наступне: регуляторні органи публікують у друкованих засобах масової інформації та/або розміщують на своїх сторінках в мережі Інтернет або оприлюднюють в інший спосіб, у тому числі через телебачення і радіо, інформацію про здійснення ними регуляторної діяльності.</w:t>
      </w:r>
    </w:p>
    <w:bookmarkEnd w:id="0"/>
    <w:p w:rsidR="00A3793B" w:rsidRPr="002F7BA5" w:rsidRDefault="00A3793B">
      <w:pPr>
        <w:rPr>
          <w:sz w:val="28"/>
          <w:szCs w:val="28"/>
        </w:rPr>
      </w:pPr>
    </w:p>
    <w:sectPr w:rsidR="00A3793B" w:rsidRPr="002F7B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44135"/>
    <w:multiLevelType w:val="multilevel"/>
    <w:tmpl w:val="8902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A68AD"/>
    <w:multiLevelType w:val="multilevel"/>
    <w:tmpl w:val="E13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5"/>
    <w:rsid w:val="002F7BA5"/>
    <w:rsid w:val="00A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18C131-8BF6-402D-8203-3266ED7B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F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2593</Words>
  <Characters>1479</Characters>
  <Application>Microsoft Office Word</Application>
  <DocSecurity>0</DocSecurity>
  <Lines>12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2021-08-31T20:04:00Z</dcterms:created>
  <dcterms:modified xsi:type="dcterms:W3CDTF">2021-08-31T20:05:00Z</dcterms:modified>
</cp:coreProperties>
</file>